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安徽</w:t>
      </w:r>
      <w:r>
        <w:rPr>
          <w:rFonts w:hint="eastAsia"/>
          <w:lang w:eastAsia="zh-CN"/>
        </w:rPr>
        <w:t>医学</w:t>
      </w:r>
      <w:r>
        <w:rPr>
          <w:rFonts w:hint="eastAsia"/>
        </w:rPr>
        <w:t>科技奖</w:t>
      </w:r>
      <w:r>
        <w:rPr>
          <w:rFonts w:hint="eastAsia"/>
          <w:lang w:val="en-US" w:eastAsia="zh-CN"/>
        </w:rPr>
        <w:t>推荐</w:t>
      </w:r>
      <w:r>
        <w:rPr>
          <w:rFonts w:hint="eastAsia"/>
        </w:rPr>
        <w:t>项目公示内容</w:t>
      </w:r>
    </w:p>
    <w:p>
      <w:pPr>
        <w:rPr>
          <w:rFonts w:hint="eastAsia" w:eastAsiaTheme="minorEastAsia"/>
          <w:b/>
          <w:bCs/>
          <w:lang w:eastAsia="zh-CN"/>
        </w:rPr>
      </w:pPr>
      <w:r>
        <w:rPr>
          <w:rFonts w:hint="eastAsia"/>
          <w:b/>
          <w:bCs/>
          <w:lang w:eastAsia="zh-CN"/>
        </w:rPr>
        <w:t>项目一</w:t>
      </w:r>
    </w:p>
    <w:p>
      <w:pPr>
        <w:numPr>
          <w:ilvl w:val="0"/>
          <w:numId w:val="0"/>
        </w:numPr>
        <w:spacing w:line="560" w:lineRule="exact"/>
        <w:rPr>
          <w:rFonts w:ascii="宋体" w:hAnsi="宋体" w:eastAsia="宋体"/>
          <w:color w:val="000000"/>
          <w:szCs w:val="21"/>
        </w:rPr>
      </w:pPr>
      <w:r>
        <w:rPr>
          <w:rFonts w:hint="eastAsia" w:ascii="Times New Roman" w:hAnsi="Times New Roman" w:cs="Times New Roman"/>
          <w:b/>
          <w:bCs w:val="0"/>
          <w:color w:val="000000"/>
          <w:sz w:val="21"/>
          <w:szCs w:val="21"/>
          <w:lang w:eastAsia="zh-CN"/>
        </w:rPr>
        <w:t>（一）</w:t>
      </w:r>
      <w:r>
        <w:rPr>
          <w:rFonts w:ascii="Times New Roman" w:hAnsi="Times New Roman" w:cs="Times New Roman"/>
          <w:b/>
          <w:bCs w:val="0"/>
          <w:color w:val="000000"/>
          <w:sz w:val="21"/>
          <w:szCs w:val="21"/>
        </w:rPr>
        <w:t>项目名称</w:t>
      </w:r>
      <w:r>
        <w:rPr>
          <w:rFonts w:hint="eastAsia" w:ascii="Times New Roman" w:hAnsi="Times New Roman" w:cs="Times New Roman"/>
          <w:b/>
          <w:bCs w:val="0"/>
          <w:color w:val="000000"/>
          <w:sz w:val="21"/>
          <w:szCs w:val="21"/>
        </w:rPr>
        <w:t>：</w:t>
      </w:r>
      <w:r>
        <w:rPr>
          <w:rFonts w:hint="eastAsia" w:ascii="宋体" w:hAnsi="宋体" w:eastAsia="宋体"/>
          <w:b w:val="0"/>
          <w:bCs/>
          <w:color w:val="000000"/>
          <w:sz w:val="21"/>
          <w:szCs w:val="21"/>
        </w:rPr>
        <w:t>含氟喹诺酮药物治疗耐多药结核病新方案研究及其应用</w:t>
      </w:r>
    </w:p>
    <w:p>
      <w:pPr>
        <w:numPr>
          <w:ilvl w:val="0"/>
          <w:numId w:val="0"/>
        </w:numPr>
        <w:spacing w:line="560" w:lineRule="exact"/>
        <w:rPr>
          <w:rFonts w:hint="default" w:ascii="宋体" w:hAnsi="宋体" w:eastAsia="宋体"/>
          <w:b w:val="0"/>
          <w:bCs/>
          <w:color w:val="000000"/>
          <w:sz w:val="21"/>
          <w:szCs w:val="21"/>
          <w:lang w:val="en-US" w:eastAsia="zh-CN"/>
        </w:rPr>
      </w:pPr>
      <w:r>
        <w:rPr>
          <w:rFonts w:hint="eastAsia" w:eastAsia="宋体"/>
          <w:b/>
          <w:bCs w:val="0"/>
          <w:color w:val="000000"/>
          <w:sz w:val="21"/>
          <w:szCs w:val="21"/>
          <w:lang w:eastAsia="zh-CN"/>
        </w:rPr>
        <w:t>（二）</w:t>
      </w:r>
      <w:r>
        <w:rPr>
          <w:rFonts w:hint="eastAsia" w:ascii="宋体" w:hAnsi="宋体" w:eastAsia="宋体"/>
          <w:b/>
          <w:bCs w:val="0"/>
          <w:color w:val="000000"/>
          <w:sz w:val="21"/>
          <w:szCs w:val="21"/>
        </w:rPr>
        <w:t>推荐单位：</w:t>
      </w:r>
      <w:r>
        <w:rPr>
          <w:rFonts w:hint="eastAsia" w:ascii="宋体" w:hAnsi="宋体" w:eastAsia="宋体"/>
          <w:b w:val="0"/>
          <w:bCs/>
          <w:color w:val="000000"/>
          <w:sz w:val="21"/>
          <w:szCs w:val="21"/>
        </w:rPr>
        <w:t xml:space="preserve"> </w:t>
      </w:r>
      <w:r>
        <w:rPr>
          <w:rFonts w:hint="eastAsia" w:ascii="宋体" w:hAnsi="宋体" w:eastAsia="宋体"/>
          <w:b w:val="0"/>
          <w:bCs/>
          <w:color w:val="000000"/>
          <w:sz w:val="21"/>
          <w:szCs w:val="21"/>
          <w:lang w:eastAsia="zh-CN"/>
        </w:rPr>
        <w:t>安徽省胸科医院（省结核病防治研究所）</w:t>
      </w:r>
    </w:p>
    <w:p>
      <w:pPr>
        <w:numPr>
          <w:ilvl w:val="0"/>
          <w:numId w:val="0"/>
        </w:numPr>
        <w:spacing w:line="560" w:lineRule="exact"/>
        <w:rPr>
          <w:rFonts w:hint="eastAsia" w:ascii="宋体" w:hAnsi="宋体" w:eastAsia="宋体"/>
          <w:b w:val="0"/>
          <w:bCs/>
          <w:color w:val="000000"/>
          <w:sz w:val="21"/>
          <w:szCs w:val="21"/>
          <w:lang w:val="en-US" w:eastAsia="zh-CN"/>
        </w:rPr>
      </w:pPr>
      <w:r>
        <w:rPr>
          <w:rFonts w:hint="eastAsia" w:ascii="Times New Roman" w:hAnsi="Times New Roman" w:cs="Times New Roman"/>
          <w:b/>
          <w:bCs w:val="0"/>
          <w:color w:val="000000"/>
          <w:sz w:val="21"/>
          <w:szCs w:val="21"/>
          <w:lang w:val="en-US" w:eastAsia="zh-CN"/>
        </w:rPr>
        <w:t>（三）推荐意见：</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耐多药结核病传染性强、治疗难度大、不良反应率高，成为结核病防治关键技术中的重点与难点。安徽省胸科医院（省结核病防治研究所）阚晓红团队自2008年开始，开展的“含氟喹诺酮药物治疗耐多药结核病新方案研究及其应用”项目研究，利用国家“艾滋病和病毒性肝炎等重大传染病防治科技重大专项”等课题研究和安徽省多个项目支持，开展耐多药结核病新方案的系列研究，经历新方案的筛选、研究和验证评估三个阶段，</w:t>
      </w:r>
      <w:r>
        <w:rPr>
          <w:rFonts w:hint="default" w:ascii="宋体" w:hAnsi="宋体" w:eastAsia="宋体"/>
          <w:b w:val="0"/>
          <w:bCs/>
          <w:color w:val="000000"/>
          <w:sz w:val="21"/>
          <w:szCs w:val="21"/>
          <w:lang w:val="en-US" w:eastAsia="zh-CN"/>
        </w:rPr>
        <w:t>优选</w:t>
      </w:r>
      <w:r>
        <w:rPr>
          <w:rFonts w:hint="eastAsia" w:ascii="宋体" w:hAnsi="宋体" w:eastAsia="宋体"/>
          <w:b w:val="0"/>
          <w:bCs/>
          <w:color w:val="000000"/>
          <w:sz w:val="21"/>
          <w:szCs w:val="21"/>
          <w:lang w:val="en-US" w:eastAsia="zh-CN"/>
        </w:rPr>
        <w:t>出</w:t>
      </w:r>
      <w:r>
        <w:rPr>
          <w:rFonts w:hint="default" w:ascii="宋体" w:hAnsi="宋体" w:eastAsia="宋体"/>
          <w:b w:val="0"/>
          <w:bCs/>
          <w:color w:val="000000"/>
          <w:sz w:val="21"/>
          <w:szCs w:val="21"/>
          <w:lang w:val="en-US" w:eastAsia="zh-CN"/>
        </w:rPr>
        <w:t>安全性高、治疗效果佳、疗程较短</w:t>
      </w:r>
      <w:r>
        <w:rPr>
          <w:rFonts w:hint="eastAsia" w:ascii="宋体" w:hAnsi="宋体" w:eastAsia="宋体"/>
          <w:b w:val="0"/>
          <w:bCs/>
          <w:color w:val="000000"/>
          <w:sz w:val="21"/>
          <w:szCs w:val="21"/>
          <w:lang w:val="en-US" w:eastAsia="zh-CN"/>
        </w:rPr>
        <w:t>含氟喹诺酮药物</w:t>
      </w:r>
      <w:r>
        <w:rPr>
          <w:rFonts w:hint="default" w:ascii="宋体" w:hAnsi="宋体" w:eastAsia="宋体"/>
          <w:b w:val="0"/>
          <w:bCs/>
          <w:color w:val="000000"/>
          <w:sz w:val="21"/>
          <w:szCs w:val="21"/>
          <w:lang w:val="en-US" w:eastAsia="zh-CN"/>
        </w:rPr>
        <w:t>的6</w:t>
      </w:r>
      <w:r>
        <w:rPr>
          <w:rFonts w:hint="eastAsia" w:ascii="宋体" w:hAnsi="宋体" w:eastAsia="宋体"/>
          <w:b w:val="0"/>
          <w:bCs/>
          <w:color w:val="000000"/>
          <w:sz w:val="21"/>
          <w:szCs w:val="21"/>
          <w:lang w:val="en-US" w:eastAsia="zh-CN"/>
        </w:rPr>
        <w:t>种核心</w:t>
      </w:r>
      <w:r>
        <w:rPr>
          <w:rFonts w:hint="default" w:ascii="宋体" w:hAnsi="宋体" w:eastAsia="宋体"/>
          <w:b w:val="0"/>
          <w:bCs/>
          <w:color w:val="000000"/>
          <w:sz w:val="21"/>
          <w:szCs w:val="21"/>
          <w:lang w:val="en-US" w:eastAsia="zh-CN"/>
        </w:rPr>
        <w:t>药</w:t>
      </w:r>
      <w:r>
        <w:rPr>
          <w:rFonts w:hint="eastAsia" w:ascii="宋体" w:hAnsi="宋体" w:eastAsia="宋体"/>
          <w:b w:val="0"/>
          <w:bCs/>
          <w:color w:val="000000"/>
          <w:sz w:val="21"/>
          <w:szCs w:val="21"/>
          <w:lang w:val="en-US" w:eastAsia="zh-CN"/>
        </w:rPr>
        <w:t>物</w:t>
      </w:r>
      <w:r>
        <w:rPr>
          <w:rFonts w:hint="default" w:ascii="宋体" w:hAnsi="宋体" w:eastAsia="宋体"/>
          <w:b w:val="0"/>
          <w:bCs/>
          <w:color w:val="000000"/>
          <w:sz w:val="21"/>
          <w:szCs w:val="21"/>
          <w:lang w:val="en-US" w:eastAsia="zh-CN"/>
        </w:rPr>
        <w:t>组成</w:t>
      </w:r>
      <w:r>
        <w:rPr>
          <w:rFonts w:hint="eastAsia" w:ascii="宋体" w:hAnsi="宋体" w:eastAsia="宋体"/>
          <w:b w:val="0"/>
          <w:bCs/>
          <w:color w:val="000000"/>
          <w:sz w:val="21"/>
          <w:szCs w:val="21"/>
          <w:lang w:val="en-US" w:eastAsia="zh-CN"/>
        </w:rPr>
        <w:t>，以氟喹诺酮药物为主的</w:t>
      </w:r>
      <w:r>
        <w:rPr>
          <w:rFonts w:hint="default" w:ascii="宋体" w:hAnsi="宋体" w:eastAsia="宋体"/>
          <w:b w:val="0"/>
          <w:bCs/>
          <w:color w:val="000000"/>
          <w:sz w:val="21"/>
          <w:szCs w:val="21"/>
          <w:lang w:val="en-US" w:eastAsia="zh-CN"/>
        </w:rPr>
        <w:t>疗程为18个月的耐多药结核病治疗方案</w:t>
      </w:r>
      <w:r>
        <w:rPr>
          <w:rFonts w:hint="eastAsia" w:ascii="宋体" w:hAnsi="宋体" w:eastAsia="宋体"/>
          <w:b w:val="0"/>
          <w:bCs/>
          <w:color w:val="000000"/>
          <w:sz w:val="21"/>
          <w:szCs w:val="21"/>
          <w:lang w:val="en-US" w:eastAsia="zh-CN"/>
        </w:rPr>
        <w:t>并在多地区推广。该方案的研制成功，对治疗耐多药结核病患者，在提高治愈率的同时缩短治疗时间，降低治疗花费；在治疗管理过程中，利用软件注册小程序，服药管家APP进行定时远程督导服药，帮助提高患者规范治疗率，在一定程度上极大地提高患者的依从性，让患者获得最大受益，为我省MDR-TB的预防和治疗提供依据，也为国家国家制定耐多药结核病治疗方案提供了依据。</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我单位认真审核项目填报各项内容，确保材料真实有效，经项目完成人所在单位公示无异议，推荐其申报2024年安徽医学科技奖。</w:t>
      </w:r>
    </w:p>
    <w:p>
      <w:pPr>
        <w:numPr>
          <w:ilvl w:val="0"/>
          <w:numId w:val="0"/>
        </w:numPr>
        <w:spacing w:line="560" w:lineRule="exact"/>
        <w:rPr>
          <w:rFonts w:hint="eastAsia" w:ascii="宋体" w:hAnsi="宋体" w:eastAsia="宋体"/>
          <w:b w:val="0"/>
          <w:bCs/>
          <w:color w:val="000000"/>
          <w:sz w:val="21"/>
          <w:szCs w:val="21"/>
          <w:lang w:val="en-US" w:eastAsia="zh-CN"/>
        </w:rPr>
      </w:pPr>
      <w:r>
        <w:rPr>
          <w:rFonts w:hint="eastAsia" w:eastAsia="宋体"/>
          <w:b/>
          <w:bCs w:val="0"/>
          <w:color w:val="000000"/>
          <w:sz w:val="21"/>
          <w:szCs w:val="21"/>
          <w:lang w:eastAsia="zh-CN"/>
        </w:rPr>
        <w:t>（四）项目简介</w:t>
      </w:r>
      <w:r>
        <w:rPr>
          <w:rFonts w:hint="eastAsia" w:eastAsia="宋体"/>
          <w:b w:val="0"/>
          <w:bCs/>
          <w:color w:val="000000"/>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结核病是一种严重危害我国人民健康的重大传染疾病，且结核分枝杆菌非常容易对抗结核药物产生耐药性，其中18%左右的耐药结核病为利福平耐药/耐多药结核病（MDR-TB）。MDR-TB是对异烟肼和利福平两种主要一线抗结核药物耐药的细菌引起的结核病，与普通结核病相比，治疗时间更长、治疗费用更高，不良反应发生率更高，治愈率更低，患者依从性差，传染性更强；如果MDR-TB不能得到及时和充分的治疗，就会导致治疗失败，并造成社区传播，使MDR-TB成为结核病防治关键技术中的重点与难点。如何在缩短MDR-TB治疗时长的同时保证方案的安全性与治疗成功率是研究的重点方向。</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该团队自2008年开展“耐多药结核病新方案的研究”以来，进行耐多药结核病新方案的系列研究，并形成一套耐多药防治管理体系。课题“十一五”期间，根据WHO（世界卫生组织）指南及中国专家共识，拟出4种符合中国实际的MDR-TB治疗方案；十二五期间在4种方案研究的基础上筛选出2种优化方案，通过扩大样本量随访进行深入研究验证；十三五期间在筛选、研究的基础上进一步优选安全性高、治疗效果佳、以氟喹诺酮药物为主的6药组成的18个月的MDR-TB治疗方案，3Am-Mfx-PZA-X-Y-Z/ 3Am-Mfx-PZA-X-Y-Z/ 12Mfx-PZA-X-Y，其中：AM：阿米卡星(丁胺卡那霉素)、Mfx：莫西沙星、PZA：吡嗪酰胺；X、Y、Z—指根据该患者药物敏感性试验及其耐受情况选择的 3种敏感药物（可依次选择: Pto: 丙硫异烟胺，PAS: 对氨基水杨酸钠，E: 盐酸乙胺丁醇）。该方案成功治疗率达到64.6%，在省内推广的过程中治愈率达到61%，高于传统方案的54%以及WHO要求的60%指标（见查新报告，附件7-4），治疗管理费用远低于个性化治疗方案，项目经历筛选、研究和验证评估三个阶段，形成一套完整、系统的结核病治疗新方案研究体系；项目实施过程中，建立了在治疗敏感结核病的“三位一体”的基础上，形成县级定点医院推荐，省市级定点医院诊治，信息化管理和疾控系统追踪的管理模式，极大地提升了耐多药结核病治疗管理能力、提高治疗成功率，“为国家制定耐多药结核病治疗方案提供了依据”。</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项目共发表6篇论文，其中，“MDR-TB患者采用不同化疗方案所致药物不良反应及治疗转归研究”获中国防痨协会优秀论文一等奖，入选中国精品科技期刊顶尖学术论文F5000；“18个月化疗方案对耐多药肺结核患者的治疗效果分析”获中国科协优秀论文奖和中华医学会百篇优秀论文奖；“耐多药肺结核不同治疗方案的不良反应发生及治疗转归情况分析”入选中华医学会 2018 年全国结核病学术大会进行交流。“耐多药结核病治疗方案的研究”获安徽省科技成果证书。培养2名硕士研究生，有力地推进结核病流行病学和“结核病预防与控制”省级重点专科建设，建设成果在国家级学术会议上做会议交流。“患者用药远程监控系统”与“服药管家APP”获得2项计算机软件著作权”。参与国家《耐药肺结核全口服化学治疗方案中国专家共识（2021年版）》编写，项目成果写入《中国结核病防治工作指南》在省内外应用，取得巨大地经济效益和社会效益。</w:t>
      </w:r>
    </w:p>
    <w:p>
      <w:pPr>
        <w:numPr>
          <w:ilvl w:val="0"/>
          <w:numId w:val="0"/>
        </w:numPr>
        <w:spacing w:line="560" w:lineRule="exact"/>
        <w:rPr>
          <w:rFonts w:hint="eastAsia" w:ascii="宋体" w:hAnsi="宋体" w:eastAsia="宋体"/>
          <w:b w:val="0"/>
          <w:bCs/>
          <w:color w:val="000000"/>
          <w:sz w:val="21"/>
          <w:szCs w:val="21"/>
        </w:rPr>
      </w:pPr>
      <w:r>
        <w:rPr>
          <w:rFonts w:hint="eastAsia" w:ascii="Times New Roman" w:hAnsi="Times New Roman" w:cs="Times New Roman"/>
          <w:b/>
          <w:bCs w:val="0"/>
          <w:color w:val="000000"/>
          <w:sz w:val="21"/>
          <w:szCs w:val="21"/>
          <w:lang w:eastAsia="zh-CN"/>
        </w:rPr>
        <w:t>（五）</w:t>
      </w:r>
      <w:r>
        <w:rPr>
          <w:rFonts w:ascii="Times New Roman" w:hAnsi="Times New Roman" w:cs="Times New Roman"/>
          <w:b/>
          <w:bCs w:val="0"/>
          <w:color w:val="000000"/>
          <w:sz w:val="21"/>
          <w:szCs w:val="21"/>
        </w:rPr>
        <w:t>项目名称</w:t>
      </w:r>
      <w:r>
        <w:rPr>
          <w:rFonts w:hint="eastAsia" w:ascii="Times New Roman" w:hAnsi="Times New Roman" w:cs="Times New Roman"/>
          <w:b/>
          <w:bCs w:val="0"/>
          <w:color w:val="000000"/>
          <w:sz w:val="21"/>
          <w:szCs w:val="21"/>
        </w:rPr>
        <w:t>：</w:t>
      </w:r>
      <w:r>
        <w:rPr>
          <w:rFonts w:hint="eastAsia" w:ascii="宋体" w:hAnsi="宋体" w:eastAsia="宋体"/>
          <w:b w:val="0"/>
          <w:bCs/>
          <w:color w:val="000000"/>
          <w:sz w:val="21"/>
          <w:szCs w:val="21"/>
        </w:rPr>
        <w:t>代表性论文目录</w:t>
      </w: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0"/>
        <w:gridCol w:w="1847"/>
        <w:gridCol w:w="1749"/>
        <w:gridCol w:w="1442"/>
        <w:gridCol w:w="2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序号</w:t>
            </w:r>
          </w:p>
        </w:tc>
        <w:tc>
          <w:tcPr>
            <w:tcW w:w="1601"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论文名称</w:t>
            </w:r>
          </w:p>
        </w:tc>
        <w:tc>
          <w:tcPr>
            <w:tcW w:w="151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刊名</w:t>
            </w:r>
          </w:p>
        </w:tc>
        <w:tc>
          <w:tcPr>
            <w:tcW w:w="125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年,卷(期)及页码</w:t>
            </w:r>
          </w:p>
        </w:tc>
        <w:tc>
          <w:tcPr>
            <w:tcW w:w="210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全部作者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noWrap w:val="0"/>
            <w:vAlign w:val="center"/>
          </w:tcPr>
          <w:p>
            <w:pPr>
              <w:pStyle w:val="3"/>
              <w:spacing w:line="390" w:lineRule="exact"/>
              <w:ind w:firstLine="0" w:firstLineChars="0"/>
              <w:jc w:val="cente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1-1</w:t>
            </w:r>
          </w:p>
        </w:tc>
        <w:tc>
          <w:tcPr>
            <w:tcW w:w="1601" w:type="dxa"/>
            <w:noWrap w:val="0"/>
            <w:vAlign w:val="center"/>
          </w:tcPr>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 xml:space="preserve">MDR-TB患者采用不同化疗方案所致 </w:t>
            </w:r>
          </w:p>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 xml:space="preserve">药物不良反应及治疗转归研究 </w:t>
            </w:r>
          </w:p>
        </w:tc>
        <w:tc>
          <w:tcPr>
            <w:tcW w:w="1516" w:type="dxa"/>
            <w:noWrap w:val="0"/>
            <w:vAlign w:val="center"/>
          </w:tcPr>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中国防痨杂志</w:t>
            </w:r>
          </w:p>
        </w:tc>
        <w:tc>
          <w:tcPr>
            <w:tcW w:w="1250" w:type="dxa"/>
            <w:noWrap w:val="0"/>
            <w:vAlign w:val="center"/>
          </w:tcPr>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 xml:space="preserve">Vol.40, </w:t>
            </w:r>
          </w:p>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No.8.</w:t>
            </w:r>
          </w:p>
        </w:tc>
        <w:tc>
          <w:tcPr>
            <w:tcW w:w="2100" w:type="dxa"/>
            <w:noWrap w:val="0"/>
            <w:vAlign w:val="center"/>
          </w:tcPr>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李凤丽、 阚晓红、 李琦、张云玲、李东方、周云、姜雯、 华小果、胡成洋、潘敏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noWrap w:val="0"/>
            <w:vAlign w:val="center"/>
          </w:tcPr>
          <w:p>
            <w:pPr>
              <w:pStyle w:val="3"/>
              <w:spacing w:line="390" w:lineRule="exact"/>
              <w:ind w:firstLine="0" w:firstLineChars="0"/>
              <w:jc w:val="cente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1-2</w:t>
            </w:r>
          </w:p>
        </w:tc>
        <w:tc>
          <w:tcPr>
            <w:tcW w:w="1601" w:type="dxa"/>
            <w:noWrap w:val="0"/>
            <w:vAlign w:val="center"/>
          </w:tcPr>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１８个月化疗方案对耐多药肺结核患者的治疗</w:t>
            </w:r>
          </w:p>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效果分析</w:t>
            </w:r>
          </w:p>
        </w:tc>
        <w:tc>
          <w:tcPr>
            <w:tcW w:w="1516" w:type="dxa"/>
            <w:noWrap w:val="0"/>
            <w:vAlign w:val="center"/>
          </w:tcPr>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中国防痨杂志</w:t>
            </w:r>
          </w:p>
        </w:tc>
        <w:tc>
          <w:tcPr>
            <w:tcW w:w="1250" w:type="dxa"/>
            <w:noWrap w:val="0"/>
            <w:vAlign w:val="center"/>
          </w:tcPr>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2019,</w:t>
            </w:r>
          </w:p>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 xml:space="preserve">Vol.41, </w:t>
            </w:r>
          </w:p>
          <w:p>
            <w:pPr>
              <w:keepNext w:val="0"/>
              <w:keepLines w:val="0"/>
              <w:widowControl/>
              <w:suppressLineNumbers w:val="0"/>
              <w:jc w:val="left"/>
              <w:rPr>
                <w:rFonts w:hint="default"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No.3.</w:t>
            </w:r>
          </w:p>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294-301.</w:t>
            </w:r>
          </w:p>
        </w:tc>
        <w:tc>
          <w:tcPr>
            <w:tcW w:w="2100" w:type="dxa"/>
            <w:noWrap w:val="0"/>
            <w:vAlign w:val="center"/>
          </w:tcPr>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李琦、姜晓颖、高孟秋、刘宇红、杨坤云、阚晓红、梁建琴、田明、刘锦程、崔文玉、刘文、余德美、 谭守勇、 唐神结、 刘玉琴 、梁煊、邱丽华、邵世峰、高飞、接力、 蔡宝云、 卜建玲、</w:t>
            </w:r>
          </w:p>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马丽萍、 刘智、徐麟、杜娟 操敏、高静韬、舒薇、李亮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noWrap w:val="0"/>
            <w:vAlign w:val="center"/>
          </w:tcPr>
          <w:p>
            <w:pPr>
              <w:pStyle w:val="3"/>
              <w:spacing w:line="390" w:lineRule="exact"/>
              <w:ind w:firstLine="0" w:firstLineChars="0"/>
              <w:jc w:val="cente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1-3</w:t>
            </w:r>
          </w:p>
        </w:tc>
        <w:tc>
          <w:tcPr>
            <w:tcW w:w="1601" w:type="dxa"/>
            <w:noWrap w:val="0"/>
            <w:vAlign w:val="center"/>
          </w:tcPr>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可视下结核病患者服药监管系统的设计与实现</w:t>
            </w:r>
          </w:p>
        </w:tc>
        <w:tc>
          <w:tcPr>
            <w:tcW w:w="1516" w:type="dxa"/>
            <w:noWrap w:val="0"/>
            <w:vAlign w:val="center"/>
          </w:tcPr>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电脑知识与技术</w:t>
            </w:r>
          </w:p>
        </w:tc>
        <w:tc>
          <w:tcPr>
            <w:tcW w:w="1250" w:type="dxa"/>
            <w:noWrap w:val="0"/>
            <w:vAlign w:val="center"/>
          </w:tcPr>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2020，Vol.16, No.8, March.</w:t>
            </w:r>
          </w:p>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 xml:space="preserve">81-83 </w:t>
            </w:r>
          </w:p>
        </w:tc>
        <w:tc>
          <w:tcPr>
            <w:tcW w:w="2100" w:type="dxa"/>
            <w:noWrap w:val="0"/>
            <w:vAlign w:val="center"/>
          </w:tcPr>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张迪，张涛，方钟辉，阚晓红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noWrap w:val="0"/>
            <w:vAlign w:val="center"/>
          </w:tcPr>
          <w:p>
            <w:pPr>
              <w:pStyle w:val="3"/>
              <w:spacing w:line="390" w:lineRule="exact"/>
              <w:ind w:firstLine="0" w:firstLineChars="0"/>
              <w:jc w:val="cente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1-4</w:t>
            </w:r>
          </w:p>
        </w:tc>
        <w:tc>
          <w:tcPr>
            <w:tcW w:w="1601" w:type="dxa"/>
            <w:noWrap w:val="0"/>
            <w:vAlign w:val="center"/>
          </w:tcPr>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113例结核病患者氟喹诺酮类抗菌药物的不良反应报告分析</w:t>
            </w:r>
          </w:p>
        </w:tc>
        <w:tc>
          <w:tcPr>
            <w:tcW w:w="1516" w:type="dxa"/>
            <w:noWrap w:val="0"/>
            <w:vAlign w:val="center"/>
          </w:tcPr>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中国药物警戒</w:t>
            </w:r>
          </w:p>
        </w:tc>
        <w:tc>
          <w:tcPr>
            <w:tcW w:w="1250" w:type="dxa"/>
            <w:noWrap w:val="0"/>
            <w:vAlign w:val="center"/>
          </w:tcPr>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2022, Vol.19, No.4，404-407</w:t>
            </w:r>
          </w:p>
        </w:tc>
        <w:tc>
          <w:tcPr>
            <w:tcW w:w="2100" w:type="dxa"/>
            <w:noWrap w:val="0"/>
            <w:vAlign w:val="center"/>
          </w:tcPr>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朱娜、阚晓宏、吴欣俐、丁海华、薛淑雅、张云玲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noWrap w:val="0"/>
            <w:vAlign w:val="center"/>
          </w:tcPr>
          <w:p>
            <w:pPr>
              <w:pStyle w:val="3"/>
              <w:spacing w:line="390" w:lineRule="exact"/>
              <w:ind w:firstLine="0" w:firstLineChars="0"/>
              <w:jc w:val="cente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1-5</w:t>
            </w:r>
          </w:p>
        </w:tc>
        <w:tc>
          <w:tcPr>
            <w:tcW w:w="1601" w:type="dxa"/>
            <w:noWrap w:val="0"/>
            <w:vAlign w:val="center"/>
          </w:tcPr>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含左氧氟沙星或含莫西沙星</w:t>
            </w:r>
          </w:p>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方案治疗耐多药肺结核的疗</w:t>
            </w:r>
          </w:p>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效分析</w:t>
            </w:r>
          </w:p>
        </w:tc>
        <w:tc>
          <w:tcPr>
            <w:tcW w:w="1516" w:type="dxa"/>
            <w:noWrap w:val="0"/>
            <w:vAlign w:val="center"/>
          </w:tcPr>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中国防痨杂志</w:t>
            </w:r>
          </w:p>
        </w:tc>
        <w:tc>
          <w:tcPr>
            <w:tcW w:w="1250" w:type="dxa"/>
            <w:noWrap w:val="0"/>
            <w:vAlign w:val="center"/>
          </w:tcPr>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 xml:space="preserve">2016，Vol.38, </w:t>
            </w:r>
          </w:p>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 xml:space="preserve">No.6. </w:t>
            </w:r>
          </w:p>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436-442</w:t>
            </w:r>
          </w:p>
        </w:tc>
        <w:tc>
          <w:tcPr>
            <w:tcW w:w="2100" w:type="dxa"/>
            <w:noWrap w:val="0"/>
            <w:vAlign w:val="center"/>
          </w:tcPr>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李琦、姜晓颖、梁建琴、杨坤云、阚晓宏、邱丽华、唐结神、蔡宝云、卜建玲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noWrap w:val="0"/>
            <w:vAlign w:val="center"/>
          </w:tcPr>
          <w:p>
            <w:pPr>
              <w:pStyle w:val="3"/>
              <w:spacing w:line="390" w:lineRule="exact"/>
              <w:ind w:firstLine="0" w:firstLineChars="0"/>
              <w:jc w:val="cente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1-6</w:t>
            </w:r>
          </w:p>
        </w:tc>
        <w:tc>
          <w:tcPr>
            <w:tcW w:w="1601" w:type="dxa"/>
            <w:noWrap w:val="0"/>
            <w:vAlign w:val="center"/>
          </w:tcPr>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安徽省耐多药肺结核危险因</w:t>
            </w:r>
          </w:p>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素病例对照研究</w:t>
            </w:r>
          </w:p>
        </w:tc>
        <w:tc>
          <w:tcPr>
            <w:tcW w:w="1516" w:type="dxa"/>
            <w:noWrap w:val="0"/>
            <w:vAlign w:val="center"/>
          </w:tcPr>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中华疾病控制杂志</w:t>
            </w:r>
          </w:p>
        </w:tc>
        <w:tc>
          <w:tcPr>
            <w:tcW w:w="1250" w:type="dxa"/>
            <w:noWrap w:val="0"/>
            <w:vAlign w:val="center"/>
          </w:tcPr>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2016, Vol. 20 No.10.</w:t>
            </w:r>
          </w:p>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1026-1028</w:t>
            </w:r>
          </w:p>
        </w:tc>
        <w:tc>
          <w:tcPr>
            <w:tcW w:w="2100" w:type="dxa"/>
            <w:noWrap w:val="0"/>
            <w:vAlign w:val="center"/>
          </w:tcPr>
          <w:p>
            <w:pPr>
              <w:keepNext w:val="0"/>
              <w:keepLines w:val="0"/>
              <w:widowControl/>
              <w:suppressLineNumbers w:val="0"/>
              <w:jc w:val="lef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余述凤、梅晓冬、阚晓宏、方雪晖、包训迪</w:t>
            </w:r>
          </w:p>
        </w:tc>
      </w:tr>
    </w:tbl>
    <w:p>
      <w:pPr>
        <w:numPr>
          <w:ilvl w:val="0"/>
          <w:numId w:val="0"/>
        </w:numPr>
        <w:spacing w:line="560" w:lineRule="exact"/>
        <w:rPr>
          <w:rFonts w:hint="eastAsia" w:ascii="宋体" w:hAnsi="宋体" w:eastAsia="宋体"/>
          <w:b w:val="0"/>
          <w:bCs/>
          <w:color w:val="000000"/>
          <w:sz w:val="21"/>
          <w:szCs w:val="21"/>
        </w:rPr>
      </w:pPr>
    </w:p>
    <w:p>
      <w:pPr>
        <w:numPr>
          <w:ilvl w:val="0"/>
          <w:numId w:val="0"/>
        </w:numPr>
        <w:spacing w:line="560" w:lineRule="exact"/>
        <w:ind w:leftChars="0"/>
        <w:rPr>
          <w:rFonts w:hint="eastAsia" w:ascii="宋体" w:hAnsi="宋体" w:eastAsia="宋体"/>
          <w:b/>
          <w:bCs w:val="0"/>
          <w:color w:val="000000"/>
          <w:sz w:val="21"/>
          <w:szCs w:val="21"/>
        </w:rPr>
      </w:pPr>
      <w:r>
        <w:rPr>
          <w:rFonts w:hint="eastAsia" w:eastAsia="宋体"/>
          <w:b/>
          <w:bCs w:val="0"/>
          <w:color w:val="000000"/>
          <w:sz w:val="21"/>
          <w:szCs w:val="21"/>
          <w:lang w:eastAsia="zh-CN"/>
        </w:rPr>
        <w:t>（六）</w:t>
      </w:r>
      <w:r>
        <w:rPr>
          <w:rFonts w:hint="eastAsia" w:ascii="宋体" w:hAnsi="宋体" w:eastAsia="宋体"/>
          <w:b/>
          <w:bCs w:val="0"/>
          <w:color w:val="000000"/>
          <w:sz w:val="21"/>
          <w:szCs w:val="21"/>
        </w:rPr>
        <w:t>知识产权证明目录</w:t>
      </w:r>
    </w:p>
    <w:tbl>
      <w:tblPr>
        <w:tblStyle w:val="5"/>
        <w:tblW w:w="113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1701"/>
        <w:gridCol w:w="709"/>
        <w:gridCol w:w="1917"/>
        <w:gridCol w:w="1742"/>
        <w:gridCol w:w="2457"/>
        <w:gridCol w:w="1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noWrap w:val="0"/>
            <w:vAlign w:val="center"/>
          </w:tcPr>
          <w:p>
            <w:pPr>
              <w:pStyle w:val="3"/>
              <w:spacing w:line="320" w:lineRule="exact"/>
              <w:ind w:firstLine="0" w:firstLineChars="0"/>
              <w:jc w:val="center"/>
              <w:rPr>
                <w:rFonts w:ascii="宋体" w:hAnsi="宋体"/>
                <w:color w:val="000000"/>
                <w:sz w:val="21"/>
              </w:rPr>
            </w:pPr>
            <w:r>
              <w:rPr>
                <w:rFonts w:hint="eastAsia" w:ascii="宋体" w:hAnsi="宋体"/>
                <w:color w:val="000000"/>
                <w:sz w:val="21"/>
              </w:rPr>
              <w:t>序号</w:t>
            </w:r>
          </w:p>
        </w:tc>
        <w:tc>
          <w:tcPr>
            <w:tcW w:w="1701" w:type="dxa"/>
            <w:noWrap w:val="0"/>
            <w:vAlign w:val="center"/>
          </w:tcPr>
          <w:p>
            <w:pPr>
              <w:pStyle w:val="3"/>
              <w:spacing w:line="320" w:lineRule="exact"/>
              <w:ind w:firstLine="0" w:firstLineChars="0"/>
              <w:jc w:val="center"/>
              <w:rPr>
                <w:rFonts w:ascii="宋体" w:hAnsi="宋体"/>
                <w:color w:val="000000"/>
                <w:sz w:val="21"/>
              </w:rPr>
            </w:pPr>
            <w:r>
              <w:rPr>
                <w:rFonts w:ascii="宋体" w:hAnsi="宋体"/>
                <w:color w:val="000000"/>
                <w:sz w:val="21"/>
              </w:rPr>
              <w:t>类别</w:t>
            </w:r>
          </w:p>
        </w:tc>
        <w:tc>
          <w:tcPr>
            <w:tcW w:w="709" w:type="dxa"/>
            <w:noWrap w:val="0"/>
            <w:vAlign w:val="center"/>
          </w:tcPr>
          <w:p>
            <w:pPr>
              <w:pStyle w:val="3"/>
              <w:spacing w:line="320" w:lineRule="exact"/>
              <w:ind w:firstLine="0" w:firstLineChars="0"/>
              <w:jc w:val="center"/>
              <w:rPr>
                <w:rFonts w:ascii="宋体" w:hAnsi="宋体"/>
                <w:color w:val="000000"/>
                <w:sz w:val="21"/>
              </w:rPr>
            </w:pPr>
            <w:r>
              <w:rPr>
                <w:rFonts w:hint="eastAsia" w:ascii="宋体" w:hAnsi="宋体"/>
                <w:color w:val="000000"/>
                <w:sz w:val="21"/>
              </w:rPr>
              <w:t>国别</w:t>
            </w:r>
          </w:p>
        </w:tc>
        <w:tc>
          <w:tcPr>
            <w:tcW w:w="1917" w:type="dxa"/>
            <w:noWrap w:val="0"/>
            <w:vAlign w:val="center"/>
          </w:tcPr>
          <w:p>
            <w:pPr>
              <w:pStyle w:val="3"/>
              <w:spacing w:line="320" w:lineRule="exact"/>
              <w:ind w:firstLine="0" w:firstLineChars="0"/>
              <w:jc w:val="center"/>
              <w:rPr>
                <w:rFonts w:hint="eastAsia" w:ascii="宋体" w:hAnsi="宋体" w:eastAsia="宋体"/>
                <w:color w:val="000000"/>
                <w:sz w:val="21"/>
                <w:lang w:eastAsia="zh-CN"/>
              </w:rPr>
            </w:pPr>
            <w:r>
              <w:rPr>
                <w:rFonts w:hint="eastAsia" w:ascii="宋体" w:hAnsi="宋体"/>
                <w:color w:val="000000"/>
                <w:sz w:val="21"/>
                <w:lang w:eastAsia="zh-CN"/>
              </w:rPr>
              <w:t>专利号</w:t>
            </w:r>
          </w:p>
        </w:tc>
        <w:tc>
          <w:tcPr>
            <w:tcW w:w="1742" w:type="dxa"/>
            <w:noWrap w:val="0"/>
            <w:vAlign w:val="center"/>
          </w:tcPr>
          <w:p>
            <w:pPr>
              <w:pStyle w:val="3"/>
              <w:spacing w:line="320" w:lineRule="exact"/>
              <w:ind w:firstLine="0" w:firstLineChars="0"/>
              <w:jc w:val="center"/>
              <w:rPr>
                <w:rFonts w:ascii="宋体" w:hAnsi="宋体"/>
                <w:color w:val="000000"/>
                <w:sz w:val="21"/>
              </w:rPr>
            </w:pPr>
            <w:r>
              <w:rPr>
                <w:rFonts w:hint="eastAsia" w:ascii="宋体" w:hAnsi="宋体"/>
                <w:color w:val="000000"/>
                <w:sz w:val="21"/>
              </w:rPr>
              <w:t>授权</w:t>
            </w:r>
          </w:p>
          <w:p>
            <w:pPr>
              <w:pStyle w:val="3"/>
              <w:spacing w:line="320" w:lineRule="exact"/>
              <w:ind w:firstLine="0" w:firstLineChars="0"/>
              <w:jc w:val="center"/>
              <w:rPr>
                <w:rFonts w:ascii="宋体" w:hAnsi="宋体"/>
                <w:color w:val="000000"/>
                <w:sz w:val="21"/>
              </w:rPr>
            </w:pPr>
            <w:r>
              <w:rPr>
                <w:rFonts w:hint="eastAsia" w:ascii="宋体" w:hAnsi="宋体"/>
                <w:color w:val="000000"/>
                <w:sz w:val="21"/>
              </w:rPr>
              <w:t>时间</w:t>
            </w:r>
          </w:p>
        </w:tc>
        <w:tc>
          <w:tcPr>
            <w:tcW w:w="2457" w:type="dxa"/>
            <w:noWrap w:val="0"/>
            <w:vAlign w:val="center"/>
          </w:tcPr>
          <w:p>
            <w:pPr>
              <w:pStyle w:val="3"/>
              <w:spacing w:line="320" w:lineRule="exact"/>
              <w:ind w:firstLine="0" w:firstLineChars="0"/>
              <w:jc w:val="center"/>
              <w:rPr>
                <w:rFonts w:ascii="宋体" w:hAnsi="宋体"/>
                <w:color w:val="000000"/>
                <w:sz w:val="21"/>
              </w:rPr>
            </w:pPr>
            <w:r>
              <w:rPr>
                <w:rFonts w:hint="eastAsia" w:ascii="宋体" w:hAnsi="宋体"/>
                <w:color w:val="000000"/>
                <w:sz w:val="21"/>
              </w:rPr>
              <w:t>知识产权具体</w:t>
            </w:r>
            <w:r>
              <w:rPr>
                <w:rFonts w:ascii="宋体" w:hAnsi="宋体"/>
                <w:color w:val="000000"/>
                <w:sz w:val="21"/>
              </w:rPr>
              <w:t>名称</w:t>
            </w:r>
          </w:p>
        </w:tc>
        <w:tc>
          <w:tcPr>
            <w:tcW w:w="1948" w:type="dxa"/>
            <w:noWrap w:val="0"/>
            <w:vAlign w:val="center"/>
          </w:tcPr>
          <w:p>
            <w:pPr>
              <w:pStyle w:val="3"/>
              <w:spacing w:line="320" w:lineRule="exact"/>
              <w:ind w:firstLine="0" w:firstLineChars="0"/>
              <w:jc w:val="center"/>
              <w:rPr>
                <w:rFonts w:ascii="宋体" w:hAnsi="宋体"/>
                <w:color w:val="000000"/>
                <w:sz w:val="21"/>
              </w:rPr>
            </w:pPr>
            <w:r>
              <w:rPr>
                <w:rFonts w:hint="eastAsia" w:ascii="宋体" w:hAnsi="宋体"/>
                <w:color w:val="000000"/>
                <w:sz w:val="21"/>
              </w:rPr>
              <w:t>全部发明人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noWrap w:val="0"/>
            <w:vAlign w:val="center"/>
          </w:tcPr>
          <w:p>
            <w:pPr>
              <w:pStyle w:val="3"/>
              <w:spacing w:line="390" w:lineRule="exact"/>
              <w:ind w:firstLine="0" w:firstLineChars="0"/>
              <w:jc w:val="center"/>
              <w:rPr>
                <w:rFonts w:ascii="宋体" w:hAnsi="宋体"/>
                <w:color w:val="000000"/>
                <w:sz w:val="21"/>
              </w:rPr>
            </w:pPr>
            <w:r>
              <w:rPr>
                <w:rFonts w:ascii="宋体" w:hAnsi="宋体"/>
                <w:color w:val="000000"/>
                <w:sz w:val="21"/>
              </w:rPr>
              <w:t>2-1</w:t>
            </w:r>
          </w:p>
        </w:tc>
        <w:tc>
          <w:tcPr>
            <w:tcW w:w="1701" w:type="dxa"/>
            <w:noWrap w:val="0"/>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计算机软件著 </w:t>
            </w:r>
          </w:p>
          <w:p>
            <w:pPr>
              <w:keepNext w:val="0"/>
              <w:keepLines w:val="0"/>
              <w:widowControl/>
              <w:suppressLineNumbers w:val="0"/>
              <w:jc w:val="left"/>
              <w:rPr>
                <w:rFonts w:ascii="宋体" w:hAnsi="宋体"/>
                <w:color w:val="000000"/>
                <w:sz w:val="21"/>
              </w:rPr>
            </w:pPr>
            <w:r>
              <w:rPr>
                <w:rFonts w:hint="eastAsia" w:ascii="宋体" w:hAnsi="宋体" w:eastAsia="宋体" w:cs="宋体"/>
                <w:color w:val="000000"/>
                <w:kern w:val="0"/>
                <w:sz w:val="21"/>
                <w:szCs w:val="21"/>
                <w:lang w:val="en-US" w:eastAsia="zh-CN" w:bidi="ar"/>
              </w:rPr>
              <w:t xml:space="preserve">作权 </w:t>
            </w:r>
          </w:p>
        </w:tc>
        <w:tc>
          <w:tcPr>
            <w:tcW w:w="709" w:type="dxa"/>
            <w:noWrap w:val="0"/>
            <w:vAlign w:val="center"/>
          </w:tcPr>
          <w:p>
            <w:pPr>
              <w:pStyle w:val="3"/>
              <w:spacing w:line="320" w:lineRule="exact"/>
              <w:ind w:firstLine="0" w:firstLineChars="0"/>
              <w:jc w:val="center"/>
              <w:rPr>
                <w:rFonts w:hint="eastAsia" w:ascii="宋体" w:hAnsi="宋体" w:eastAsia="宋体"/>
                <w:color w:val="000000"/>
                <w:sz w:val="21"/>
                <w:lang w:eastAsia="zh-CN"/>
              </w:rPr>
            </w:pPr>
            <w:r>
              <w:rPr>
                <w:rFonts w:hint="eastAsia" w:ascii="宋体" w:hAnsi="宋体"/>
                <w:color w:val="000000"/>
                <w:sz w:val="21"/>
                <w:lang w:eastAsia="zh-CN"/>
              </w:rPr>
              <w:t>中国</w:t>
            </w:r>
          </w:p>
        </w:tc>
        <w:tc>
          <w:tcPr>
            <w:tcW w:w="1917" w:type="dxa"/>
            <w:noWrap w:val="0"/>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2020SR0074332 </w:t>
            </w:r>
          </w:p>
          <w:p>
            <w:pPr>
              <w:pStyle w:val="3"/>
              <w:spacing w:line="320" w:lineRule="exact"/>
              <w:ind w:firstLine="0" w:firstLineChars="0"/>
              <w:jc w:val="center"/>
              <w:rPr>
                <w:rFonts w:ascii="宋体" w:hAnsi="宋体"/>
                <w:color w:val="000000"/>
                <w:sz w:val="21"/>
              </w:rPr>
            </w:pPr>
          </w:p>
        </w:tc>
        <w:tc>
          <w:tcPr>
            <w:tcW w:w="1742" w:type="dxa"/>
            <w:noWrap w:val="0"/>
            <w:vAlign w:val="center"/>
          </w:tcPr>
          <w:p>
            <w:pPr>
              <w:pStyle w:val="3"/>
              <w:spacing w:line="320" w:lineRule="exact"/>
              <w:ind w:firstLine="0" w:firstLineChars="0"/>
              <w:jc w:val="center"/>
              <w:rPr>
                <w:rFonts w:hint="default" w:ascii="宋体" w:hAnsi="宋体" w:eastAsia="宋体"/>
                <w:color w:val="000000"/>
                <w:sz w:val="21"/>
                <w:lang w:val="en-US" w:eastAsia="zh-CN"/>
              </w:rPr>
            </w:pPr>
            <w:r>
              <w:rPr>
                <w:rFonts w:hint="eastAsia" w:ascii="宋体" w:hAnsi="宋体"/>
                <w:color w:val="000000"/>
                <w:sz w:val="21"/>
                <w:lang w:val="en-US" w:eastAsia="zh-CN"/>
              </w:rPr>
              <w:t>2020-01-05</w:t>
            </w:r>
          </w:p>
        </w:tc>
        <w:tc>
          <w:tcPr>
            <w:tcW w:w="2457" w:type="dxa"/>
            <w:noWrap w:val="0"/>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患者用药远程监控系统</w:t>
            </w:r>
          </w:p>
          <w:p>
            <w:pPr>
              <w:pStyle w:val="3"/>
              <w:spacing w:line="320" w:lineRule="exact"/>
              <w:ind w:firstLine="0" w:firstLineChars="0"/>
              <w:jc w:val="center"/>
              <w:rPr>
                <w:rFonts w:ascii="宋体" w:hAnsi="宋体"/>
                <w:color w:val="000000"/>
                <w:sz w:val="21"/>
              </w:rPr>
            </w:pPr>
          </w:p>
        </w:tc>
        <w:tc>
          <w:tcPr>
            <w:tcW w:w="1948" w:type="dxa"/>
            <w:noWrap w:val="0"/>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阚晓红、张迪</w:t>
            </w:r>
          </w:p>
          <w:p>
            <w:pPr>
              <w:pStyle w:val="3"/>
              <w:spacing w:line="320" w:lineRule="exact"/>
              <w:ind w:firstLine="0" w:firstLineChars="0"/>
              <w:jc w:val="center"/>
              <w:rPr>
                <w:rFonts w:ascii="宋体" w:hAnsi="宋体"/>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noWrap w:val="0"/>
            <w:vAlign w:val="center"/>
          </w:tcPr>
          <w:p>
            <w:pPr>
              <w:pStyle w:val="3"/>
              <w:spacing w:line="390" w:lineRule="exact"/>
              <w:ind w:firstLine="0" w:firstLineChars="0"/>
              <w:jc w:val="center"/>
              <w:rPr>
                <w:rFonts w:ascii="宋体" w:hAnsi="宋体"/>
                <w:color w:val="000000"/>
                <w:sz w:val="21"/>
              </w:rPr>
            </w:pPr>
            <w:r>
              <w:rPr>
                <w:rFonts w:ascii="宋体" w:hAnsi="宋体"/>
                <w:color w:val="000000"/>
                <w:sz w:val="21"/>
              </w:rPr>
              <w:t>2-2</w:t>
            </w:r>
          </w:p>
        </w:tc>
        <w:tc>
          <w:tcPr>
            <w:tcW w:w="1701" w:type="dxa"/>
            <w:noWrap w:val="0"/>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计算机软件著 </w:t>
            </w:r>
          </w:p>
          <w:p>
            <w:pPr>
              <w:pStyle w:val="3"/>
              <w:spacing w:line="320" w:lineRule="exact"/>
              <w:ind w:firstLine="0" w:firstLineChars="0"/>
              <w:jc w:val="left"/>
              <w:rPr>
                <w:rFonts w:ascii="宋体" w:hAnsi="宋体"/>
                <w:color w:val="000000"/>
                <w:sz w:val="21"/>
              </w:rPr>
            </w:pPr>
            <w:r>
              <w:rPr>
                <w:rFonts w:hint="eastAsia" w:ascii="宋体" w:hAnsi="宋体" w:eastAsia="宋体" w:cs="宋体"/>
                <w:color w:val="000000"/>
                <w:kern w:val="0"/>
                <w:sz w:val="21"/>
                <w:szCs w:val="21"/>
                <w:lang w:val="en-US" w:eastAsia="zh-CN" w:bidi="ar"/>
              </w:rPr>
              <w:t xml:space="preserve">作权 </w:t>
            </w:r>
          </w:p>
        </w:tc>
        <w:tc>
          <w:tcPr>
            <w:tcW w:w="709" w:type="dxa"/>
            <w:noWrap w:val="0"/>
            <w:vAlign w:val="center"/>
          </w:tcPr>
          <w:p>
            <w:pPr>
              <w:pStyle w:val="3"/>
              <w:spacing w:line="320" w:lineRule="exact"/>
              <w:ind w:firstLine="0" w:firstLineChars="0"/>
              <w:jc w:val="center"/>
              <w:rPr>
                <w:rFonts w:hint="eastAsia" w:ascii="宋体" w:hAnsi="宋体" w:eastAsia="宋体"/>
                <w:color w:val="000000"/>
                <w:sz w:val="21"/>
                <w:lang w:eastAsia="zh-CN"/>
              </w:rPr>
            </w:pPr>
            <w:r>
              <w:rPr>
                <w:rFonts w:hint="eastAsia" w:ascii="宋体" w:hAnsi="宋体"/>
                <w:color w:val="000000"/>
                <w:sz w:val="21"/>
                <w:lang w:eastAsia="zh-CN"/>
              </w:rPr>
              <w:t>中国</w:t>
            </w:r>
          </w:p>
        </w:tc>
        <w:tc>
          <w:tcPr>
            <w:tcW w:w="1917" w:type="dxa"/>
            <w:noWrap w:val="0"/>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2020SR0074840 </w:t>
            </w:r>
          </w:p>
          <w:p>
            <w:pPr>
              <w:pStyle w:val="3"/>
              <w:spacing w:line="320" w:lineRule="exact"/>
              <w:ind w:firstLine="0" w:firstLineChars="0"/>
              <w:jc w:val="center"/>
              <w:rPr>
                <w:rFonts w:ascii="宋体" w:hAnsi="宋体"/>
                <w:color w:val="000000"/>
                <w:sz w:val="21"/>
              </w:rPr>
            </w:pPr>
          </w:p>
        </w:tc>
        <w:tc>
          <w:tcPr>
            <w:tcW w:w="1742" w:type="dxa"/>
            <w:noWrap w:val="0"/>
            <w:vAlign w:val="center"/>
          </w:tcPr>
          <w:p>
            <w:pPr>
              <w:pStyle w:val="3"/>
              <w:spacing w:line="320" w:lineRule="exact"/>
              <w:ind w:firstLine="0" w:firstLineChars="0"/>
              <w:jc w:val="center"/>
              <w:rPr>
                <w:rFonts w:ascii="宋体" w:hAnsi="宋体"/>
                <w:color w:val="000000"/>
                <w:sz w:val="21"/>
              </w:rPr>
            </w:pPr>
            <w:r>
              <w:rPr>
                <w:rFonts w:hint="eastAsia" w:ascii="宋体" w:hAnsi="宋体"/>
                <w:color w:val="000000"/>
                <w:sz w:val="21"/>
                <w:lang w:val="en-US" w:eastAsia="zh-CN"/>
              </w:rPr>
              <w:t>2020-01-05</w:t>
            </w:r>
          </w:p>
        </w:tc>
        <w:tc>
          <w:tcPr>
            <w:tcW w:w="2457" w:type="dxa"/>
            <w:noWrap w:val="0"/>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服药管家APP系统V1.0</w:t>
            </w:r>
          </w:p>
          <w:p>
            <w:pPr>
              <w:pStyle w:val="3"/>
              <w:spacing w:line="320" w:lineRule="exact"/>
              <w:ind w:firstLine="0" w:firstLineChars="0"/>
              <w:jc w:val="center"/>
              <w:rPr>
                <w:rFonts w:ascii="宋体" w:hAnsi="宋体"/>
                <w:color w:val="000000"/>
                <w:sz w:val="21"/>
              </w:rPr>
            </w:pPr>
          </w:p>
        </w:tc>
        <w:tc>
          <w:tcPr>
            <w:tcW w:w="1948" w:type="dxa"/>
            <w:noWrap w:val="0"/>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阚晓红、张迪</w:t>
            </w:r>
          </w:p>
          <w:p>
            <w:pPr>
              <w:pStyle w:val="3"/>
              <w:spacing w:line="320" w:lineRule="exact"/>
              <w:ind w:firstLine="0" w:firstLineChars="0"/>
              <w:jc w:val="center"/>
              <w:rPr>
                <w:rFonts w:ascii="宋体" w:hAnsi="宋体"/>
                <w:color w:val="000000"/>
                <w:sz w:val="21"/>
              </w:rPr>
            </w:pPr>
          </w:p>
        </w:tc>
      </w:tr>
    </w:tbl>
    <w:p>
      <w:pPr>
        <w:numPr>
          <w:ilvl w:val="0"/>
          <w:numId w:val="0"/>
        </w:numPr>
        <w:spacing w:line="560" w:lineRule="exact"/>
        <w:ind w:leftChars="0"/>
        <w:rPr>
          <w:rFonts w:hint="eastAsia" w:eastAsia="宋体"/>
          <w:b w:val="0"/>
          <w:bCs/>
          <w:color w:val="000000"/>
          <w:sz w:val="21"/>
          <w:szCs w:val="21"/>
          <w:lang w:val="en-US" w:eastAsia="zh-CN"/>
        </w:rPr>
      </w:pPr>
    </w:p>
    <w:p>
      <w:pPr>
        <w:numPr>
          <w:ilvl w:val="0"/>
          <w:numId w:val="0"/>
        </w:numPr>
        <w:spacing w:line="560" w:lineRule="exact"/>
        <w:ind w:leftChars="0"/>
        <w:rPr>
          <w:rFonts w:hint="eastAsia" w:ascii="宋体" w:hAnsi="宋体" w:eastAsia="宋体"/>
          <w:b/>
          <w:bCs w:val="0"/>
          <w:color w:val="000000"/>
          <w:sz w:val="21"/>
          <w:szCs w:val="21"/>
          <w:lang w:val="en-US" w:eastAsia="zh-CN"/>
        </w:rPr>
      </w:pPr>
      <w:r>
        <w:rPr>
          <w:rFonts w:hint="eastAsia" w:eastAsia="宋体"/>
          <w:b/>
          <w:bCs w:val="0"/>
          <w:color w:val="000000"/>
          <w:sz w:val="21"/>
          <w:szCs w:val="21"/>
          <w:lang w:val="en-US" w:eastAsia="zh-CN"/>
        </w:rPr>
        <w:t>（七）完成人情况</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项目完成人阚晓红（第1）、张菁菁（第3）、王卫阳（第4）、张迪（第5）、王华（第6）、黄鑫（第</w:t>
      </w:r>
      <w:r>
        <w:rPr>
          <w:rFonts w:hint="eastAsia" w:eastAsia="宋体"/>
          <w:b w:val="0"/>
          <w:bCs/>
          <w:color w:val="000000"/>
          <w:sz w:val="21"/>
          <w:szCs w:val="21"/>
          <w:lang w:val="en-US" w:eastAsia="zh-CN"/>
        </w:rPr>
        <w:t>7</w:t>
      </w:r>
      <w:r>
        <w:rPr>
          <w:rFonts w:hint="eastAsia" w:ascii="宋体" w:hAnsi="宋体" w:eastAsia="宋体"/>
          <w:b w:val="0"/>
          <w:bCs/>
          <w:color w:val="000000"/>
          <w:sz w:val="21"/>
          <w:szCs w:val="21"/>
          <w:lang w:val="en-US" w:eastAsia="zh-CN"/>
        </w:rPr>
        <w:t>）、韩伊（第</w:t>
      </w:r>
      <w:r>
        <w:rPr>
          <w:rFonts w:hint="eastAsia" w:eastAsia="宋体"/>
          <w:b w:val="0"/>
          <w:bCs/>
          <w:color w:val="000000"/>
          <w:sz w:val="21"/>
          <w:szCs w:val="21"/>
          <w:lang w:val="en-US" w:eastAsia="zh-CN"/>
        </w:rPr>
        <w:t>8</w:t>
      </w:r>
      <w:r>
        <w:rPr>
          <w:rFonts w:hint="eastAsia" w:ascii="宋体" w:hAnsi="宋体" w:eastAsia="宋体"/>
          <w:b w:val="0"/>
          <w:bCs/>
          <w:color w:val="000000"/>
          <w:sz w:val="21"/>
          <w:szCs w:val="21"/>
          <w:lang w:val="en-US" w:eastAsia="zh-CN"/>
        </w:rPr>
        <w:t>）</w:t>
      </w:r>
      <w:r>
        <w:rPr>
          <w:rFonts w:hint="eastAsia" w:eastAsia="宋体"/>
          <w:b w:val="0"/>
          <w:bCs/>
          <w:color w:val="000000"/>
          <w:sz w:val="21"/>
          <w:szCs w:val="21"/>
          <w:lang w:val="en-US" w:eastAsia="zh-CN"/>
        </w:rPr>
        <w:t>、</w:t>
      </w:r>
      <w:r>
        <w:rPr>
          <w:rFonts w:hint="eastAsia" w:ascii="宋体" w:hAnsi="宋体" w:eastAsia="宋体"/>
          <w:b w:val="0"/>
          <w:bCs/>
          <w:color w:val="000000"/>
          <w:sz w:val="21"/>
          <w:szCs w:val="21"/>
          <w:lang w:val="en-US" w:eastAsia="zh-CN"/>
        </w:rPr>
        <w:t>余述凤（第9）为安徽省胸科医院（省结核病防治研究所）研究团队的成员；张秀军（第2）为安徽医科大学研究团队的成员。</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阚晓红</w:t>
      </w:r>
      <w:r>
        <w:rPr>
          <w:rFonts w:hint="eastAsia" w:eastAsia="宋体"/>
          <w:b w:val="0"/>
          <w:bCs/>
          <w:color w:val="000000"/>
          <w:sz w:val="21"/>
          <w:szCs w:val="21"/>
          <w:lang w:val="en-US" w:eastAsia="zh-CN"/>
        </w:rPr>
        <w:t>，</w:t>
      </w:r>
      <w:r>
        <w:rPr>
          <w:rFonts w:hint="eastAsia" w:ascii="宋体" w:hAnsi="宋体" w:eastAsia="宋体"/>
          <w:b w:val="0"/>
          <w:bCs/>
          <w:color w:val="000000"/>
          <w:sz w:val="21"/>
          <w:szCs w:val="21"/>
          <w:lang w:val="en-US" w:eastAsia="zh-CN"/>
        </w:rPr>
        <w:t>一级主任医师、科长</w:t>
      </w:r>
      <w:r>
        <w:rPr>
          <w:rFonts w:hint="eastAsia" w:ascii="宋体" w:hAnsi="宋体"/>
          <w:sz w:val="24"/>
          <w:szCs w:val="24"/>
          <w:lang w:val="en-US" w:eastAsia="zh-CN"/>
        </w:rPr>
        <w:t>，</w:t>
      </w:r>
      <w:r>
        <w:rPr>
          <w:rFonts w:hint="eastAsia" w:ascii="宋体" w:hAnsi="宋体" w:eastAsia="宋体"/>
          <w:b w:val="0"/>
          <w:bCs/>
          <w:color w:val="000000"/>
          <w:sz w:val="21"/>
          <w:szCs w:val="21"/>
          <w:lang w:val="en-US" w:eastAsia="zh-CN"/>
        </w:rPr>
        <w:t>作为项目第一完成人，</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张秀军</w:t>
      </w:r>
      <w:r>
        <w:rPr>
          <w:rFonts w:hint="eastAsia" w:eastAsia="宋体"/>
          <w:b w:val="0"/>
          <w:bCs/>
          <w:color w:val="000000"/>
          <w:sz w:val="21"/>
          <w:szCs w:val="21"/>
          <w:lang w:val="en-US" w:eastAsia="zh-CN"/>
        </w:rPr>
        <w:t>，教授，副所长，</w:t>
      </w:r>
      <w:r>
        <w:rPr>
          <w:rFonts w:hint="eastAsia" w:ascii="宋体" w:hAnsi="宋体" w:eastAsia="宋体"/>
          <w:b w:val="0"/>
          <w:bCs/>
          <w:color w:val="000000"/>
          <w:sz w:val="21"/>
          <w:szCs w:val="21"/>
          <w:lang w:val="en-US" w:eastAsia="zh-CN"/>
        </w:rPr>
        <w:t>作为研究生导师和第一完成人指导学生撰写论文，合著；</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张菁菁</w:t>
      </w:r>
      <w:r>
        <w:rPr>
          <w:rFonts w:hint="eastAsia" w:eastAsia="宋体"/>
          <w:b w:val="0"/>
          <w:bCs/>
          <w:color w:val="000000"/>
          <w:sz w:val="21"/>
          <w:szCs w:val="21"/>
          <w:lang w:val="en-US" w:eastAsia="zh-CN"/>
        </w:rPr>
        <w:t>，医师，</w:t>
      </w:r>
      <w:r>
        <w:rPr>
          <w:rFonts w:hint="eastAsia" w:ascii="宋体" w:hAnsi="宋体" w:eastAsia="宋体"/>
          <w:b w:val="0"/>
          <w:bCs/>
          <w:color w:val="000000"/>
          <w:sz w:val="21"/>
          <w:szCs w:val="21"/>
          <w:lang w:val="en-US" w:eastAsia="zh-CN"/>
        </w:rPr>
        <w:t>负责资料整理、数据分析、申请书撰写等；</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王卫阳</w:t>
      </w:r>
      <w:r>
        <w:rPr>
          <w:rFonts w:hint="eastAsia" w:eastAsia="宋体"/>
          <w:b w:val="0"/>
          <w:bCs/>
          <w:color w:val="000000"/>
          <w:sz w:val="21"/>
          <w:szCs w:val="21"/>
          <w:lang w:val="en-US" w:eastAsia="zh-CN"/>
        </w:rPr>
        <w:t>，副主任医师，科主任，</w:t>
      </w:r>
      <w:r>
        <w:rPr>
          <w:rFonts w:hint="eastAsia" w:ascii="宋体" w:hAnsi="宋体" w:eastAsia="宋体"/>
          <w:b w:val="0"/>
          <w:bCs/>
          <w:color w:val="000000"/>
          <w:sz w:val="21"/>
          <w:szCs w:val="21"/>
          <w:lang w:val="en-US" w:eastAsia="zh-CN"/>
        </w:rPr>
        <w:t>“十一五”、“十二五”开展门诊接诊和病例CRF填写等，共同立项</w:t>
      </w:r>
      <w:r>
        <w:rPr>
          <w:rFonts w:hint="eastAsia" w:eastAsia="宋体"/>
          <w:b w:val="0"/>
          <w:bCs/>
          <w:color w:val="000000"/>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张迪</w:t>
      </w:r>
      <w:r>
        <w:rPr>
          <w:rFonts w:hint="eastAsia" w:eastAsia="宋体"/>
          <w:b w:val="0"/>
          <w:bCs/>
          <w:color w:val="000000"/>
          <w:sz w:val="21"/>
          <w:szCs w:val="21"/>
          <w:lang w:val="en-US" w:eastAsia="zh-CN"/>
        </w:rPr>
        <w:t>，高级工程师，</w:t>
      </w:r>
      <w:r>
        <w:rPr>
          <w:rFonts w:hint="eastAsia" w:ascii="宋体" w:hAnsi="宋体" w:eastAsia="宋体"/>
          <w:b w:val="0"/>
          <w:bCs/>
          <w:color w:val="000000"/>
          <w:sz w:val="21"/>
          <w:szCs w:val="21"/>
          <w:lang w:val="en-US" w:eastAsia="zh-CN"/>
        </w:rPr>
        <w:t>APP开发，共同知识产权和合著；</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王华</w:t>
      </w:r>
      <w:r>
        <w:rPr>
          <w:rFonts w:hint="eastAsia" w:eastAsia="宋体"/>
          <w:b w:val="0"/>
          <w:bCs/>
          <w:color w:val="000000"/>
          <w:sz w:val="21"/>
          <w:szCs w:val="21"/>
          <w:lang w:val="en-US" w:eastAsia="zh-CN"/>
        </w:rPr>
        <w:t>，主任医师，科主任，</w:t>
      </w:r>
      <w:r>
        <w:rPr>
          <w:rFonts w:hint="eastAsia" w:ascii="宋体" w:hAnsi="宋体" w:eastAsia="宋体"/>
          <w:b w:val="0"/>
          <w:bCs/>
          <w:color w:val="000000"/>
          <w:sz w:val="21"/>
          <w:szCs w:val="21"/>
          <w:lang w:val="en-US" w:eastAsia="zh-CN"/>
        </w:rPr>
        <w:t>“十三五”门诊接诊和病例CRF填写等，共同立项；</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黄鑫</w:t>
      </w:r>
      <w:r>
        <w:rPr>
          <w:rFonts w:hint="eastAsia" w:eastAsia="宋体"/>
          <w:b w:val="0"/>
          <w:bCs/>
          <w:color w:val="000000"/>
          <w:sz w:val="21"/>
          <w:szCs w:val="21"/>
          <w:lang w:val="en-US" w:eastAsia="zh-CN"/>
        </w:rPr>
        <w:t>，副主任医师，</w:t>
      </w:r>
      <w:r>
        <w:rPr>
          <w:rFonts w:hint="eastAsia" w:ascii="宋体" w:hAnsi="宋体" w:eastAsia="宋体"/>
          <w:b w:val="0"/>
          <w:bCs/>
          <w:color w:val="000000"/>
          <w:sz w:val="21"/>
          <w:szCs w:val="21"/>
          <w:lang w:val="en-US" w:eastAsia="zh-CN"/>
        </w:rPr>
        <w:t>“十一五”、“十二五”门诊接诊和病例CRF填写等，共同立项；</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韩伊</w:t>
      </w:r>
      <w:r>
        <w:rPr>
          <w:rFonts w:hint="eastAsia" w:eastAsia="宋体"/>
          <w:b w:val="0"/>
          <w:bCs/>
          <w:color w:val="000000"/>
          <w:sz w:val="21"/>
          <w:szCs w:val="21"/>
          <w:lang w:val="en-US" w:eastAsia="zh-CN"/>
        </w:rPr>
        <w:t>，主治医师，</w:t>
      </w:r>
      <w:r>
        <w:rPr>
          <w:rFonts w:hint="eastAsia" w:ascii="宋体" w:hAnsi="宋体" w:eastAsia="宋体"/>
          <w:b w:val="0"/>
          <w:bCs/>
          <w:color w:val="000000"/>
          <w:sz w:val="21"/>
          <w:szCs w:val="21"/>
          <w:lang w:val="en-US" w:eastAsia="zh-CN"/>
        </w:rPr>
        <w:t>“十三五”门诊接诊和病例CRF填写等，共同立项；</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余述凤，</w:t>
      </w:r>
      <w:r>
        <w:rPr>
          <w:rFonts w:hint="eastAsia" w:eastAsia="宋体"/>
          <w:b w:val="0"/>
          <w:bCs/>
          <w:color w:val="000000"/>
          <w:sz w:val="21"/>
          <w:szCs w:val="21"/>
          <w:lang w:val="en-US" w:eastAsia="zh-CN"/>
        </w:rPr>
        <w:t>主任医师，科主任，</w:t>
      </w:r>
      <w:r>
        <w:rPr>
          <w:rFonts w:hint="eastAsia" w:ascii="宋体" w:hAnsi="宋体" w:eastAsia="宋体"/>
          <w:b w:val="0"/>
          <w:bCs/>
          <w:color w:val="000000"/>
          <w:sz w:val="21"/>
          <w:szCs w:val="21"/>
          <w:lang w:val="en-US" w:eastAsia="zh-CN"/>
        </w:rPr>
        <w:t>“十一五”、“十二五”病例CRF填写等，共同立项。</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b/>
          <w:bCs w:val="0"/>
          <w:color w:val="000000"/>
          <w:sz w:val="21"/>
          <w:szCs w:val="21"/>
          <w:lang w:val="en-US" w:eastAsia="zh-CN"/>
        </w:rPr>
      </w:pPr>
      <w:r>
        <w:rPr>
          <w:rFonts w:hint="eastAsia" w:eastAsia="宋体"/>
          <w:b/>
          <w:bCs w:val="0"/>
          <w:color w:val="000000"/>
          <w:sz w:val="21"/>
          <w:szCs w:val="21"/>
          <w:lang w:val="en-US" w:eastAsia="zh-CN"/>
        </w:rPr>
        <w:t>（八）完成单位情况</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eastAsia="宋体"/>
          <w:b/>
          <w:bCs w:val="0"/>
          <w:color w:val="000000"/>
          <w:sz w:val="21"/>
          <w:szCs w:val="21"/>
          <w:lang w:val="en-US" w:eastAsia="zh-CN"/>
        </w:rPr>
      </w:pPr>
      <w:r>
        <w:rPr>
          <w:rFonts w:hint="eastAsia" w:ascii="宋体" w:hAnsi="宋体" w:eastAsia="宋体"/>
          <w:b/>
          <w:bCs w:val="0"/>
          <w:color w:val="000000"/>
          <w:sz w:val="21"/>
          <w:szCs w:val="21"/>
          <w:lang w:val="en-US" w:eastAsia="zh-CN"/>
        </w:rPr>
        <w:t>安徽省胸科医院（省结核病防治研究所），排名1</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r>
        <w:rPr>
          <w:rFonts w:hint="eastAsia" w:eastAsia="宋体"/>
          <w:b w:val="0"/>
          <w:bCs/>
          <w:color w:val="000000"/>
          <w:sz w:val="21"/>
          <w:szCs w:val="21"/>
          <w:lang w:val="en-US" w:eastAsia="zh-CN"/>
        </w:rPr>
        <w:t>贡献：</w:t>
      </w:r>
      <w:r>
        <w:rPr>
          <w:rFonts w:hint="eastAsia" w:ascii="宋体" w:hAnsi="宋体" w:eastAsia="宋体"/>
          <w:b w:val="0"/>
          <w:bCs/>
          <w:color w:val="000000"/>
          <w:sz w:val="21"/>
          <w:szCs w:val="21"/>
          <w:lang w:val="en-US" w:eastAsia="zh-CN"/>
        </w:rPr>
        <w:t>安徽省结核病防治研究所与安徽省胸科医院合署办公。隶属于安徽省卫生健康委员会，是集预防、医疗 、科研、培训为一体的省级唯一一所结核病防治专业机构，是全省结核病控制中心、全省结核病控制工作规划和技术策略的制定者和组织实施者，为政府制定全省结核病防治规划提供技术支持，并协助组织实施；并对全省结核病防治工作做技术指导和评价。在本研究中，利用防治一体优势，开展耐多药结核病新方案的研究，调动疾控资源，开展患者推荐，并对丢失病患及时追踪，充分发挥医防融合的优势</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eastAsia="宋体"/>
          <w:b/>
          <w:bCs w:val="0"/>
          <w:color w:val="000000"/>
          <w:sz w:val="21"/>
          <w:szCs w:val="21"/>
          <w:lang w:val="en-US" w:eastAsia="zh-CN"/>
        </w:rPr>
      </w:pPr>
      <w:r>
        <w:rPr>
          <w:rFonts w:hint="eastAsia" w:eastAsia="宋体"/>
          <w:b/>
          <w:bCs w:val="0"/>
          <w:color w:val="000000"/>
          <w:sz w:val="21"/>
          <w:szCs w:val="21"/>
          <w:lang w:val="en-US" w:eastAsia="zh-CN"/>
        </w:rPr>
        <w:t>安徽医科大学，排名2</w:t>
      </w:r>
    </w:p>
    <w:p>
      <w:pPr>
        <w:keepNext w:val="0"/>
        <w:keepLines w:val="0"/>
        <w:widowControl/>
        <w:suppressLineNumbers w:val="0"/>
        <w:ind w:firstLine="420" w:firstLineChars="200"/>
        <w:jc w:val="left"/>
      </w:pPr>
      <w:r>
        <w:rPr>
          <w:rFonts w:hint="eastAsia" w:eastAsia="宋体"/>
          <w:b w:val="0"/>
          <w:bCs/>
          <w:color w:val="000000"/>
          <w:sz w:val="21"/>
          <w:szCs w:val="21"/>
          <w:lang w:val="en-US" w:eastAsia="zh-CN"/>
        </w:rPr>
        <w:t>贡献：</w:t>
      </w:r>
      <w:r>
        <w:rPr>
          <w:rFonts w:hint="eastAsia" w:ascii="宋体" w:hAnsi="宋体" w:eastAsia="宋体" w:cs="宋体"/>
          <w:color w:val="000000"/>
          <w:kern w:val="0"/>
          <w:sz w:val="21"/>
          <w:szCs w:val="21"/>
          <w:lang w:val="en-US" w:eastAsia="zh-CN" w:bidi="ar"/>
        </w:rPr>
        <w:t>安徽医科大学是安徽省办学历史最早的高等学校之一，是安徽省第一所高等医科院校，是安徽省属重点大学，是教育部、国家卫健委和安徽省共建高校。本项目研究中，共同培养硕士研究生2名，组织学生撰写的论文获中国防痨协会优秀论文一等奖，并入选中国精品期刊顶级论文，研究生在全国大会作项目结果交流，为项目成果做出贡献。</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2" w:firstLineChars="200"/>
        <w:textAlignment w:val="auto"/>
        <w:rPr>
          <w:rFonts w:hint="default" w:eastAsia="宋体"/>
          <w:b/>
          <w:bCs w:val="0"/>
          <w:color w:val="00000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p>
    <w:p/>
    <w:p/>
    <w:p/>
    <w:p/>
    <w:p/>
    <w:p/>
    <w:p/>
    <w:p/>
    <w:p/>
    <w:p/>
    <w:p/>
    <w:p/>
    <w:p/>
    <w:p/>
    <w:p/>
    <w:p/>
    <w:p/>
    <w:p/>
    <w:p/>
    <w:p/>
    <w:p/>
    <w:p/>
    <w:p/>
    <w:p/>
    <w:p/>
    <w:p/>
    <w:p/>
    <w:p/>
    <w:p>
      <w:pPr>
        <w:rPr>
          <w:rFonts w:hint="eastAsia" w:eastAsiaTheme="minorEastAsia"/>
          <w:b/>
          <w:bCs/>
          <w:lang w:eastAsia="zh-CN"/>
        </w:rPr>
      </w:pPr>
      <w:r>
        <w:rPr>
          <w:rFonts w:hint="eastAsia"/>
          <w:b/>
          <w:bCs/>
          <w:lang w:eastAsia="zh-CN"/>
        </w:rPr>
        <w:t>项目二</w:t>
      </w:r>
    </w:p>
    <w:p>
      <w:pPr>
        <w:numPr>
          <w:ilvl w:val="0"/>
          <w:numId w:val="0"/>
        </w:numPr>
        <w:spacing w:line="560" w:lineRule="exact"/>
        <w:rPr>
          <w:rFonts w:ascii="宋体" w:hAnsi="宋体" w:eastAsia="宋体"/>
          <w:color w:val="000000"/>
          <w:szCs w:val="21"/>
        </w:rPr>
      </w:pPr>
      <w:r>
        <w:rPr>
          <w:rFonts w:hint="eastAsia" w:ascii="Times New Roman" w:hAnsi="Times New Roman" w:cs="Times New Roman"/>
          <w:b/>
          <w:bCs w:val="0"/>
          <w:color w:val="000000"/>
          <w:sz w:val="21"/>
          <w:szCs w:val="21"/>
          <w:lang w:eastAsia="zh-CN"/>
        </w:rPr>
        <w:t>（一）</w:t>
      </w:r>
      <w:r>
        <w:rPr>
          <w:rFonts w:ascii="Times New Roman" w:hAnsi="Times New Roman" w:cs="Times New Roman"/>
          <w:b/>
          <w:bCs w:val="0"/>
          <w:color w:val="000000"/>
          <w:sz w:val="21"/>
          <w:szCs w:val="21"/>
        </w:rPr>
        <w:t>项目名称</w:t>
      </w:r>
      <w:r>
        <w:rPr>
          <w:rFonts w:hint="eastAsia" w:ascii="Times New Roman" w:hAnsi="Times New Roman" w:cs="Times New Roman"/>
          <w:b/>
          <w:bCs w:val="0"/>
          <w:color w:val="000000"/>
          <w:sz w:val="21"/>
          <w:szCs w:val="21"/>
        </w:rPr>
        <w:t>：</w:t>
      </w:r>
      <w:r>
        <w:rPr>
          <w:rFonts w:hint="eastAsia" w:ascii="宋体" w:hAnsi="宋体" w:eastAsia="宋体"/>
          <w:b w:val="0"/>
          <w:bCs/>
          <w:color w:val="000000"/>
          <w:sz w:val="21"/>
          <w:szCs w:val="21"/>
        </w:rPr>
        <w:t>介入肺脏技术在胸部肿瘤的应用</w:t>
      </w:r>
    </w:p>
    <w:p>
      <w:pPr>
        <w:numPr>
          <w:ilvl w:val="0"/>
          <w:numId w:val="0"/>
        </w:numPr>
        <w:spacing w:line="560" w:lineRule="exact"/>
        <w:rPr>
          <w:rFonts w:hint="eastAsia" w:ascii="宋体" w:hAnsi="宋体" w:eastAsia="宋体"/>
          <w:b w:val="0"/>
          <w:bCs/>
          <w:color w:val="000000"/>
          <w:sz w:val="21"/>
          <w:szCs w:val="21"/>
          <w:lang w:eastAsia="zh-CN"/>
        </w:rPr>
      </w:pPr>
      <w:r>
        <w:rPr>
          <w:rFonts w:hint="eastAsia" w:eastAsia="宋体"/>
          <w:b/>
          <w:bCs w:val="0"/>
          <w:color w:val="000000"/>
          <w:sz w:val="21"/>
          <w:szCs w:val="21"/>
          <w:lang w:eastAsia="zh-CN"/>
        </w:rPr>
        <w:t>（二）</w:t>
      </w:r>
      <w:r>
        <w:rPr>
          <w:rFonts w:hint="eastAsia" w:ascii="宋体" w:hAnsi="宋体" w:eastAsia="宋体"/>
          <w:b/>
          <w:bCs w:val="0"/>
          <w:color w:val="000000"/>
          <w:sz w:val="21"/>
          <w:szCs w:val="21"/>
        </w:rPr>
        <w:t>推荐单位：</w:t>
      </w:r>
      <w:r>
        <w:rPr>
          <w:rFonts w:hint="eastAsia" w:ascii="宋体" w:hAnsi="宋体" w:eastAsia="宋体"/>
          <w:b w:val="0"/>
          <w:bCs/>
          <w:color w:val="000000"/>
          <w:sz w:val="21"/>
          <w:szCs w:val="21"/>
        </w:rPr>
        <w:t xml:space="preserve"> </w:t>
      </w:r>
      <w:r>
        <w:rPr>
          <w:rFonts w:hint="eastAsia" w:ascii="宋体" w:hAnsi="宋体" w:eastAsia="宋体"/>
          <w:b w:val="0"/>
          <w:bCs/>
          <w:color w:val="000000"/>
          <w:sz w:val="21"/>
          <w:szCs w:val="21"/>
          <w:lang w:eastAsia="zh-CN"/>
        </w:rPr>
        <w:t>安徽省胸科医院</w:t>
      </w:r>
    </w:p>
    <w:p>
      <w:pPr>
        <w:numPr>
          <w:ilvl w:val="0"/>
          <w:numId w:val="0"/>
        </w:numPr>
        <w:spacing w:line="560" w:lineRule="exact"/>
        <w:rPr>
          <w:rFonts w:hint="eastAsia" w:ascii="Times New Roman" w:hAnsi="Times New Roman" w:cs="Times New Roman"/>
          <w:b/>
          <w:bCs w:val="0"/>
          <w:color w:val="000000"/>
          <w:sz w:val="21"/>
          <w:szCs w:val="21"/>
          <w:lang w:val="en-US" w:eastAsia="zh-CN"/>
        </w:rPr>
      </w:pPr>
      <w:r>
        <w:rPr>
          <w:rFonts w:hint="eastAsia" w:ascii="Times New Roman" w:hAnsi="Times New Roman" w:cs="Times New Roman"/>
          <w:b/>
          <w:bCs w:val="0"/>
          <w:color w:val="000000"/>
          <w:sz w:val="21"/>
          <w:szCs w:val="21"/>
          <w:lang w:val="en-US" w:eastAsia="zh-CN"/>
        </w:rPr>
        <w:t>（三）推荐意见：</w:t>
      </w:r>
    </w:p>
    <w:p>
      <w:pPr>
        <w:numPr>
          <w:ilvl w:val="0"/>
          <w:numId w:val="0"/>
        </w:numPr>
        <w:spacing w:line="560" w:lineRule="exact"/>
        <w:ind w:firstLine="420" w:firstLineChars="200"/>
        <w:rPr>
          <w:rFonts w:hint="eastAsia" w:ascii="Times New Roman" w:hAnsi="Times New Roman" w:cs="Times New Roman"/>
          <w:b w:val="0"/>
          <w:bCs/>
          <w:color w:val="000000"/>
          <w:sz w:val="21"/>
          <w:szCs w:val="21"/>
          <w:lang w:val="en-US" w:eastAsia="zh-CN"/>
        </w:rPr>
      </w:pPr>
      <w:r>
        <w:rPr>
          <w:rFonts w:hint="eastAsia" w:ascii="Times New Roman" w:hAnsi="Times New Roman" w:cs="Times New Roman"/>
          <w:b w:val="0"/>
          <w:bCs/>
          <w:color w:val="000000"/>
          <w:sz w:val="21"/>
          <w:szCs w:val="21"/>
          <w:lang w:val="en-US" w:eastAsia="zh-CN"/>
        </w:rPr>
        <w:t>介入肺脏病科为省级重点学科，介入肺脏技术为安徽省胸科医院特色技术，引领省内呼吸介入的发展，位居省内第一的水平，长期以来，该学科的学科发展各方面均有序进行，目前在省内以及国内的知名度及影响力逐步上升，是安徽省胸科医院的一面旗帜。</w:t>
      </w:r>
    </w:p>
    <w:p>
      <w:pPr>
        <w:numPr>
          <w:ilvl w:val="0"/>
          <w:numId w:val="0"/>
        </w:numPr>
        <w:spacing w:line="560" w:lineRule="exact"/>
        <w:ind w:firstLine="420" w:firstLineChars="200"/>
        <w:rPr>
          <w:rFonts w:hint="eastAsia" w:ascii="宋体" w:hAnsi="宋体" w:eastAsia="宋体"/>
          <w:b w:val="0"/>
          <w:bCs/>
          <w:color w:val="000000"/>
          <w:sz w:val="21"/>
          <w:szCs w:val="21"/>
          <w:lang w:val="en-US" w:eastAsia="zh-CN"/>
        </w:rPr>
      </w:pPr>
      <w:r>
        <w:rPr>
          <w:rFonts w:hint="eastAsia" w:ascii="Times New Roman" w:hAnsi="Times New Roman" w:cs="Times New Roman"/>
          <w:b w:val="0"/>
          <w:bCs/>
          <w:color w:val="000000"/>
          <w:sz w:val="21"/>
          <w:szCs w:val="21"/>
          <w:lang w:val="en-US" w:eastAsia="zh-CN"/>
        </w:rPr>
        <w:t>《介入肺脏技术在胸部肿瘤的应用》是学科发展的重要方向之一，自2016年起，科室开展多项针对胸部肿瘤的新技术新项目，提高了肺癌的诊断率，丰富了肺癌的治疗手段，并为来着全省各地的急危重症患者提供了有效的诊疗通道。该项目有着极好的社会效益及经济效益，为提升该学科乃至医院都有着极其深远的意义。我单位认真审核项目填报各项内容，确保材料真实有效，经项目完成人所在单位公示无异议，推荐其申报2024年安徽医学科技奖。</w:t>
      </w:r>
    </w:p>
    <w:p>
      <w:pPr>
        <w:numPr>
          <w:ilvl w:val="0"/>
          <w:numId w:val="0"/>
        </w:numPr>
        <w:spacing w:line="560" w:lineRule="exact"/>
        <w:rPr>
          <w:rFonts w:hint="eastAsia" w:eastAsia="宋体"/>
          <w:b w:val="0"/>
          <w:bCs/>
          <w:color w:val="000000"/>
          <w:sz w:val="21"/>
          <w:szCs w:val="21"/>
          <w:lang w:eastAsia="zh-CN"/>
        </w:rPr>
      </w:pPr>
      <w:r>
        <w:rPr>
          <w:rFonts w:hint="eastAsia" w:ascii="宋体" w:hAnsi="宋体" w:eastAsia="宋体" w:cs="宋体"/>
          <w:b/>
          <w:bCs w:val="0"/>
          <w:color w:val="000000"/>
          <w:sz w:val="21"/>
          <w:szCs w:val="21"/>
          <w:lang w:val="en-US" w:eastAsia="zh-CN" w:bidi="ar-SA"/>
        </w:rPr>
        <w:t>（四）</w:t>
      </w:r>
      <w:r>
        <w:rPr>
          <w:rFonts w:hint="eastAsia" w:eastAsia="宋体"/>
          <w:b/>
          <w:bCs w:val="0"/>
          <w:color w:val="000000"/>
          <w:sz w:val="21"/>
          <w:szCs w:val="21"/>
          <w:lang w:eastAsia="zh-CN"/>
        </w:rPr>
        <w:t>项目简介</w:t>
      </w:r>
      <w:r>
        <w:rPr>
          <w:rFonts w:hint="eastAsia" w:eastAsia="宋体"/>
          <w:b w:val="0"/>
          <w:bCs/>
          <w:color w:val="000000"/>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介入肺脏技术在胸部肿瘤的应用》是安徽省胸科医院介入肺脏病学科（省级重点学科）学科建设的重要方向，该项目自2016年5月30日起开展至今，为近万人次肺癌患者的诊断、治疗等提供了先进的技术支持及保障，极大的提高胸部肿瘤的诊断水平，丰富了肺癌的治疗手段，改善了该类患者的生存预后及生活质量。</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胸部肿瘤，特别是肺癌的发病率、死亡率逐年增高，已成为呼吸系统的常见病，国家癌症中心最新发布报告称，我国肺癌发病数为106.06万人/年，死亡数为73.33万人/年，肺癌已然成为严重影响人民群众健康的头号杀手。肺癌的诊疗技术发展日新月异，其中介入肺脏技术是胸部肿瘤性疾病诊疗的特色技术，也是提高疑难危重患者救治水平的重要手段。本项目将从诊断和治疗两方面详细介绍本介入肺脏特色技术在胸部肿瘤的发展、应用及创新。</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我科目前开展的针对胸部肿瘤诊断的特色介入肺脏技术：1）超声支气管镜引导下的针吸活检术(EBUS-TBNA)，是国内开展该项目为数不多的单位之一，在省内处于领先地位；2）针对周围性肺癌诊断的引导技术，包括径向超声支气管镜、电磁导航支气管镜，于2019年5月率先在省内引进首台电磁导航支气管镜，开展肺外周结节的经导航支气管镜下穿刺活检术，并于2020年5月开展首例电磁导航支气管镜下肺结节微波消融术； 3)冷冻肺活检技术，与活检钳活检相比，由于获取标本组织较大且结构相对完整，有利于病理分析与诊断，进一步提高了肺活检的阳性率。</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我科目前开展的针对胸部肿瘤治疗的特色介入肺脏技术：1）气管-支气管支架植入术 2）支气管镜下消融术3）支气管镜下冷冻治疗术 4）气管瘘封堵术5）光动力治疗术 6）气管镜下腔内注药术等，通过上述特色治疗手段，极大的丰富了胸部肿瘤包括肺癌的治疗，特别是对于重症肺癌的患者，通过支架置入、腔内肿瘤消融等介入手段，迅速改善患者的通气，畅通气道，为后续的全身治疗赢得宝贵时间，极大地改善了患者的生活质量及预后生存。</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通过介入肺脏技术在胸部肿瘤的诊断及治疗中的广泛应用，我科目前在肺癌的诊治方面水平处于全省领先水平，也位于国内该领域第一方队。基于在胸部肿瘤诊断治疗方面的独特优势，我科被授予中国医师协会呼吸内镜培训基地；自2016年起每年举办国家级继教班《呼吸疾病及介入肺脏病学相关技术学习班》；2016年度首批进入安徽省卫生健康委的适宜技术推广项目《支气管镜常规技术》，并获得2019年度安徽省医学科学技术基层奖；于2021年起每年举办《胸部肿瘤与介入呼吸病技术进展学习班》；2022-2023举办两期《呼吸内镜介入新技术新进展》高级研修班。科研方面，2018年获得了中华医学交流基金会资金支持的项目《气管镜下药物注射治疗中央型非小细胞肺癌疗效的开放、随机对照、探索性研究》已经结题，文章已发表。和蚌埠医科大学附属第一医院合作安徽省临床研究转化专项《基于电磁导航系统支气管镜精准微波消融早期肺癌的研究》目前在研中，科室承接多项GCP项目，累计发表SCI及核心论文十余篇，其中SCI收录论文7篇、中华核心期刊3篇。</w:t>
      </w:r>
    </w:p>
    <w:p>
      <w:pPr>
        <w:numPr>
          <w:ilvl w:val="0"/>
          <w:numId w:val="0"/>
        </w:numPr>
        <w:spacing w:line="560" w:lineRule="exact"/>
        <w:rPr>
          <w:rFonts w:hint="eastAsia" w:ascii="宋体" w:hAnsi="宋体" w:eastAsia="宋体"/>
          <w:b w:val="0"/>
          <w:bCs/>
          <w:color w:val="000000"/>
          <w:sz w:val="21"/>
          <w:szCs w:val="21"/>
        </w:rPr>
      </w:pPr>
      <w:r>
        <w:rPr>
          <w:rFonts w:hint="eastAsia" w:ascii="宋体" w:hAnsi="宋体" w:eastAsia="宋体" w:cs="宋体"/>
          <w:b/>
          <w:bCs w:val="0"/>
          <w:color w:val="000000"/>
          <w:sz w:val="21"/>
          <w:szCs w:val="21"/>
          <w:lang w:val="en-US" w:eastAsia="zh-CN" w:bidi="ar-SA"/>
        </w:rPr>
        <w:t>（五）</w:t>
      </w:r>
      <w:r>
        <w:rPr>
          <w:rFonts w:ascii="Times New Roman" w:hAnsi="Times New Roman" w:cs="Times New Roman"/>
          <w:b/>
          <w:bCs w:val="0"/>
          <w:color w:val="000000"/>
          <w:sz w:val="21"/>
          <w:szCs w:val="21"/>
        </w:rPr>
        <w:t>项目名称</w:t>
      </w:r>
      <w:r>
        <w:rPr>
          <w:rFonts w:hint="eastAsia" w:ascii="Times New Roman" w:hAnsi="Times New Roman" w:cs="Times New Roman"/>
          <w:b/>
          <w:bCs w:val="0"/>
          <w:color w:val="000000"/>
          <w:sz w:val="21"/>
          <w:szCs w:val="21"/>
        </w:rPr>
        <w:t>：</w:t>
      </w:r>
      <w:r>
        <w:rPr>
          <w:rFonts w:hint="eastAsia" w:ascii="宋体" w:hAnsi="宋体" w:eastAsia="宋体"/>
          <w:b w:val="0"/>
          <w:bCs/>
          <w:color w:val="000000"/>
          <w:sz w:val="21"/>
          <w:szCs w:val="21"/>
        </w:rPr>
        <w:t>代表性论文目录</w:t>
      </w:r>
    </w:p>
    <w:tbl>
      <w:tblPr>
        <w:tblStyle w:val="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1980"/>
        <w:gridCol w:w="1641"/>
        <w:gridCol w:w="2225"/>
        <w:gridCol w:w="1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序号</w:t>
            </w:r>
          </w:p>
        </w:tc>
        <w:tc>
          <w:tcPr>
            <w:tcW w:w="198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论文名称</w:t>
            </w:r>
          </w:p>
        </w:tc>
        <w:tc>
          <w:tcPr>
            <w:tcW w:w="164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刊名</w:t>
            </w:r>
          </w:p>
        </w:tc>
        <w:tc>
          <w:tcPr>
            <w:tcW w:w="222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年,卷(期)及页码</w:t>
            </w:r>
          </w:p>
        </w:tc>
        <w:tc>
          <w:tcPr>
            <w:tcW w:w="187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全部作者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6" w:type="dxa"/>
            <w:vAlign w:val="center"/>
          </w:tcPr>
          <w:p>
            <w:pPr>
              <w:pStyle w:val="3"/>
              <w:spacing w:line="390" w:lineRule="exact"/>
              <w:ind w:firstLine="0" w:firstLineChars="0"/>
              <w:jc w:val="cente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1-1</w:t>
            </w:r>
          </w:p>
        </w:tc>
        <w:tc>
          <w:tcPr>
            <w:tcW w:w="1980" w:type="dxa"/>
            <w:vAlign w:val="center"/>
          </w:tcPr>
          <w:p>
            <w:pP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高龄肺癌患者的临床特征及预后因素</w:t>
            </w:r>
          </w:p>
        </w:tc>
        <w:tc>
          <w:tcPr>
            <w:tcW w:w="1641" w:type="dxa"/>
            <w:vAlign w:val="center"/>
          </w:tcPr>
          <w:p>
            <w:pP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肿瘤</w:t>
            </w:r>
          </w:p>
        </w:tc>
        <w:tc>
          <w:tcPr>
            <w:tcW w:w="2225" w:type="dxa"/>
            <w:vAlign w:val="center"/>
          </w:tcPr>
          <w:p>
            <w:pPr>
              <w:spacing w:line="200" w:lineRule="exac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2019，39（11）；928-934.</w:t>
            </w:r>
          </w:p>
        </w:tc>
        <w:tc>
          <w:tcPr>
            <w:tcW w:w="1870" w:type="dxa"/>
            <w:vAlign w:val="center"/>
          </w:tcPr>
          <w:p>
            <w:pP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徐凌，程宇，任静，吕莉萍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06" w:type="dxa"/>
            <w:vAlign w:val="center"/>
          </w:tcPr>
          <w:p>
            <w:pPr>
              <w:pStyle w:val="3"/>
              <w:spacing w:line="390" w:lineRule="exact"/>
              <w:ind w:firstLine="0" w:firstLineChars="0"/>
              <w:jc w:val="cente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1-2</w:t>
            </w:r>
          </w:p>
        </w:tc>
        <w:tc>
          <w:tcPr>
            <w:tcW w:w="1980" w:type="dxa"/>
            <w:vAlign w:val="center"/>
          </w:tcPr>
          <w:p>
            <w:pP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124例肺鳞癌患者的临床病理特征及预后因素分析</w:t>
            </w:r>
          </w:p>
        </w:tc>
        <w:tc>
          <w:tcPr>
            <w:tcW w:w="1641" w:type="dxa"/>
            <w:vAlign w:val="center"/>
          </w:tcPr>
          <w:p>
            <w:pPr>
              <w:spacing w:line="200" w:lineRule="exact"/>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临床肺科杂志</w:t>
            </w:r>
          </w:p>
          <w:p>
            <w:pPr>
              <w:rPr>
                <w:rFonts w:hint="eastAsia" w:ascii="宋体" w:hAnsi="宋体" w:eastAsia="宋体" w:cs="宋体"/>
                <w:b w:val="0"/>
                <w:bCs/>
                <w:color w:val="000000"/>
                <w:sz w:val="21"/>
                <w:szCs w:val="21"/>
                <w:lang w:val="en-US" w:eastAsia="zh-CN" w:bidi="ar-SA"/>
              </w:rPr>
            </w:pPr>
          </w:p>
        </w:tc>
        <w:tc>
          <w:tcPr>
            <w:tcW w:w="2225" w:type="dxa"/>
            <w:vAlign w:val="center"/>
          </w:tcPr>
          <w:p>
            <w:pP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2020，25（7）：65-70.</w:t>
            </w:r>
          </w:p>
        </w:tc>
        <w:tc>
          <w:tcPr>
            <w:tcW w:w="1870" w:type="dxa"/>
            <w:vAlign w:val="center"/>
          </w:tcPr>
          <w:p>
            <w:pP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徐凌，程宇，任静，吕莉萍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6" w:type="dxa"/>
            <w:vAlign w:val="center"/>
          </w:tcPr>
          <w:p>
            <w:pPr>
              <w:pStyle w:val="3"/>
              <w:spacing w:line="390" w:lineRule="exact"/>
              <w:ind w:firstLine="0" w:firstLineChars="0"/>
              <w:jc w:val="cente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1-3</w:t>
            </w:r>
          </w:p>
        </w:tc>
        <w:tc>
          <w:tcPr>
            <w:tcW w:w="1980" w:type="dxa"/>
            <w:vAlign w:val="center"/>
          </w:tcPr>
          <w:p>
            <w:pP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71例胸腺癌的临床预后因素分析</w:t>
            </w:r>
          </w:p>
        </w:tc>
        <w:tc>
          <w:tcPr>
            <w:tcW w:w="1641" w:type="dxa"/>
            <w:vAlign w:val="center"/>
          </w:tcPr>
          <w:p>
            <w:pP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安徽医科大学学报</w:t>
            </w:r>
          </w:p>
        </w:tc>
        <w:tc>
          <w:tcPr>
            <w:tcW w:w="2225" w:type="dxa"/>
            <w:vAlign w:val="center"/>
          </w:tcPr>
          <w:p>
            <w:pP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2015,50(09):1319-1322.</w:t>
            </w:r>
          </w:p>
        </w:tc>
        <w:tc>
          <w:tcPr>
            <w:tcW w:w="1870" w:type="dxa"/>
            <w:vAlign w:val="center"/>
          </w:tcPr>
          <w:p>
            <w:pP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徐凌,艾星浩,顾康生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6" w:type="dxa"/>
            <w:vAlign w:val="center"/>
          </w:tcPr>
          <w:p>
            <w:pPr>
              <w:pStyle w:val="3"/>
              <w:spacing w:line="390" w:lineRule="exact"/>
              <w:ind w:firstLine="0" w:firstLineChars="0"/>
              <w:jc w:val="cente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1-4</w:t>
            </w:r>
          </w:p>
        </w:tc>
        <w:tc>
          <w:tcPr>
            <w:tcW w:w="1980" w:type="dxa"/>
            <w:vAlign w:val="center"/>
          </w:tcPr>
          <w:p>
            <w:pPr>
              <w:rPr>
                <w:rFonts w:hint="eastAsia" w:ascii="宋体" w:hAnsi="宋体" w:eastAsia="宋体" w:cs="宋体"/>
                <w:b w:val="0"/>
                <w:bCs/>
                <w:color w:val="000000"/>
                <w:sz w:val="21"/>
                <w:szCs w:val="21"/>
                <w:lang w:val="en-US" w:eastAsia="zh-CN" w:bidi="ar-SA"/>
              </w:rPr>
            </w:pPr>
            <w:r>
              <w:rPr>
                <w:rFonts w:hint="default" w:ascii="宋体" w:hAnsi="宋体" w:eastAsia="宋体" w:cs="宋体"/>
                <w:b w:val="0"/>
                <w:bCs/>
                <w:color w:val="000000"/>
                <w:sz w:val="21"/>
                <w:szCs w:val="21"/>
                <w:lang w:val="en-US" w:eastAsia="zh-CN" w:bidi="ar-SA"/>
              </w:rPr>
              <w:t>原发性气管B细胞淋巴瘤3例报道并文献复习</w:t>
            </w:r>
          </w:p>
        </w:tc>
        <w:tc>
          <w:tcPr>
            <w:tcW w:w="1641" w:type="dxa"/>
            <w:vAlign w:val="center"/>
          </w:tcPr>
          <w:p>
            <w:pPr>
              <w:rPr>
                <w:rFonts w:hint="eastAsia" w:ascii="宋体" w:hAnsi="宋体" w:eastAsia="宋体" w:cs="宋体"/>
                <w:b w:val="0"/>
                <w:bCs/>
                <w:color w:val="000000"/>
                <w:sz w:val="21"/>
                <w:szCs w:val="21"/>
                <w:lang w:val="en-US" w:eastAsia="zh-CN" w:bidi="ar-SA"/>
              </w:rPr>
            </w:pPr>
            <w:r>
              <w:rPr>
                <w:rFonts w:hint="default" w:ascii="宋体" w:hAnsi="宋体" w:eastAsia="宋体" w:cs="宋体"/>
                <w:b w:val="0"/>
                <w:bCs/>
                <w:color w:val="000000"/>
                <w:sz w:val="21"/>
                <w:szCs w:val="21"/>
                <w:lang w:val="en-US" w:eastAsia="zh-CN" w:bidi="ar-SA"/>
              </w:rPr>
              <w:t>现代肿瘤医学</w:t>
            </w:r>
          </w:p>
        </w:tc>
        <w:tc>
          <w:tcPr>
            <w:tcW w:w="2225" w:type="dxa"/>
            <w:vAlign w:val="center"/>
          </w:tcPr>
          <w:p>
            <w:pPr>
              <w:rPr>
                <w:rFonts w:hint="default" w:ascii="宋体" w:hAnsi="宋体" w:eastAsia="宋体" w:cs="宋体"/>
                <w:b w:val="0"/>
                <w:bCs/>
                <w:color w:val="000000"/>
                <w:sz w:val="21"/>
                <w:szCs w:val="21"/>
                <w:lang w:val="en-US" w:eastAsia="zh-CN" w:bidi="ar-SA"/>
              </w:rPr>
            </w:pPr>
            <w:r>
              <w:rPr>
                <w:rFonts w:hint="default" w:ascii="宋体" w:hAnsi="宋体" w:eastAsia="宋体" w:cs="宋体"/>
                <w:b w:val="0"/>
                <w:bCs/>
                <w:color w:val="000000"/>
                <w:sz w:val="21"/>
                <w:szCs w:val="21"/>
                <w:lang w:val="en-US" w:eastAsia="zh-CN" w:bidi="ar-SA"/>
              </w:rPr>
              <w:t>2021,29(01):127-132.</w:t>
            </w:r>
          </w:p>
          <w:p>
            <w:pPr>
              <w:rPr>
                <w:rFonts w:hint="eastAsia" w:ascii="宋体" w:hAnsi="宋体" w:eastAsia="宋体" w:cs="宋体"/>
                <w:b w:val="0"/>
                <w:bCs/>
                <w:color w:val="000000"/>
                <w:sz w:val="21"/>
                <w:szCs w:val="21"/>
                <w:lang w:val="en-US" w:eastAsia="zh-CN" w:bidi="ar-SA"/>
              </w:rPr>
            </w:pPr>
          </w:p>
        </w:tc>
        <w:tc>
          <w:tcPr>
            <w:tcW w:w="1870" w:type="dxa"/>
            <w:vAlign w:val="center"/>
          </w:tcPr>
          <w:p>
            <w:pPr>
              <w:rPr>
                <w:rFonts w:hint="eastAsia" w:ascii="宋体" w:hAnsi="宋体" w:eastAsia="宋体" w:cs="宋体"/>
                <w:b w:val="0"/>
                <w:bCs/>
                <w:color w:val="000000"/>
                <w:sz w:val="21"/>
                <w:szCs w:val="21"/>
                <w:lang w:val="en-US" w:eastAsia="zh-CN" w:bidi="ar-SA"/>
              </w:rPr>
            </w:pPr>
            <w:r>
              <w:rPr>
                <w:rFonts w:hint="default" w:ascii="宋体" w:hAnsi="宋体" w:eastAsia="宋体" w:cs="宋体"/>
                <w:b w:val="0"/>
                <w:bCs/>
                <w:color w:val="000000"/>
                <w:sz w:val="21"/>
                <w:szCs w:val="21"/>
                <w:lang w:val="en-US" w:eastAsia="zh-CN" w:bidi="ar-SA"/>
              </w:rPr>
              <w:t>徐凌,吕莉萍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6" w:type="dxa"/>
            <w:vAlign w:val="center"/>
          </w:tcPr>
          <w:p>
            <w:pPr>
              <w:pStyle w:val="3"/>
              <w:spacing w:line="390" w:lineRule="exact"/>
              <w:ind w:firstLine="0" w:firstLineChars="0"/>
              <w:jc w:val="cente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1-5</w:t>
            </w:r>
          </w:p>
        </w:tc>
        <w:tc>
          <w:tcPr>
            <w:tcW w:w="1980" w:type="dxa"/>
            <w:vAlign w:val="center"/>
          </w:tcPr>
          <w:p>
            <w:pPr>
              <w:rPr>
                <w:rFonts w:hint="eastAsia" w:ascii="宋体" w:hAnsi="宋体" w:eastAsia="宋体" w:cs="宋体"/>
                <w:b w:val="0"/>
                <w:bCs/>
                <w:color w:val="000000"/>
                <w:sz w:val="21"/>
                <w:szCs w:val="21"/>
                <w:lang w:val="en-US" w:eastAsia="zh-CN" w:bidi="ar-SA"/>
              </w:rPr>
            </w:pPr>
            <w:r>
              <w:rPr>
                <w:rFonts w:hint="default" w:ascii="宋体" w:hAnsi="宋体" w:eastAsia="宋体" w:cs="宋体"/>
                <w:b w:val="0"/>
                <w:bCs/>
                <w:color w:val="000000"/>
                <w:sz w:val="21"/>
                <w:szCs w:val="21"/>
                <w:lang w:val="en-US" w:eastAsia="zh-CN" w:bidi="ar-SA"/>
              </w:rPr>
              <w:t xml:space="preserve">High level of FHL2 exacerbates the outcome of non-small cell lung cancer (NSCLC) patients and the malignant phenotype in NSCLC cells.  </w:t>
            </w:r>
          </w:p>
        </w:tc>
        <w:tc>
          <w:tcPr>
            <w:tcW w:w="1641" w:type="dxa"/>
            <w:vAlign w:val="center"/>
          </w:tcPr>
          <w:p>
            <w:pPr>
              <w:rPr>
                <w:rFonts w:hint="eastAsia" w:ascii="宋体" w:hAnsi="宋体" w:eastAsia="宋体" w:cs="宋体"/>
                <w:b w:val="0"/>
                <w:bCs/>
                <w:color w:val="000000"/>
                <w:sz w:val="21"/>
                <w:szCs w:val="21"/>
                <w:lang w:val="en-US" w:eastAsia="zh-CN" w:bidi="ar-SA"/>
              </w:rPr>
            </w:pPr>
            <w:r>
              <w:rPr>
                <w:rFonts w:hint="default" w:ascii="宋体" w:hAnsi="宋体" w:eastAsia="宋体" w:cs="宋体"/>
                <w:b w:val="0"/>
                <w:bCs/>
                <w:color w:val="000000"/>
                <w:sz w:val="21"/>
                <w:szCs w:val="21"/>
                <w:lang w:val="en-US" w:eastAsia="zh-CN" w:bidi="ar-SA"/>
              </w:rPr>
              <w:t>Int J Exp Pathol</w:t>
            </w:r>
          </w:p>
        </w:tc>
        <w:tc>
          <w:tcPr>
            <w:tcW w:w="2225" w:type="dxa"/>
            <w:vAlign w:val="center"/>
          </w:tcPr>
          <w:p>
            <w:pPr>
              <w:rPr>
                <w:rFonts w:hint="eastAsia" w:ascii="宋体" w:hAnsi="宋体" w:eastAsia="宋体" w:cs="宋体"/>
                <w:b w:val="0"/>
                <w:bCs/>
                <w:color w:val="000000"/>
                <w:sz w:val="21"/>
                <w:szCs w:val="21"/>
                <w:lang w:val="en-US" w:eastAsia="zh-CN" w:bidi="ar-SA"/>
              </w:rPr>
            </w:pPr>
            <w:r>
              <w:rPr>
                <w:rFonts w:hint="default" w:ascii="宋体" w:hAnsi="宋体" w:eastAsia="宋体" w:cs="宋体"/>
                <w:b w:val="0"/>
                <w:bCs/>
                <w:color w:val="000000"/>
                <w:sz w:val="21"/>
                <w:szCs w:val="21"/>
                <w:lang w:val="en-US" w:eastAsia="zh-CN" w:bidi="ar-SA"/>
              </w:rPr>
              <w:t>2022;103(3):90-101</w:t>
            </w:r>
            <w:r>
              <w:rPr>
                <w:rFonts w:hint="eastAsia" w:ascii="宋体" w:hAnsi="宋体" w:eastAsia="宋体" w:cs="宋体"/>
                <w:b w:val="0"/>
                <w:bCs/>
                <w:color w:val="000000"/>
                <w:sz w:val="21"/>
                <w:szCs w:val="21"/>
                <w:lang w:val="en-US" w:eastAsia="zh-CN" w:bidi="ar-SA"/>
              </w:rPr>
              <w:t>.</w:t>
            </w:r>
          </w:p>
        </w:tc>
        <w:tc>
          <w:tcPr>
            <w:tcW w:w="1870" w:type="dxa"/>
            <w:vAlign w:val="center"/>
          </w:tcPr>
          <w:p>
            <w:pP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李娜，徐凌，张骥，刘永煜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6" w:type="dxa"/>
            <w:vAlign w:val="center"/>
          </w:tcPr>
          <w:p>
            <w:pPr>
              <w:pStyle w:val="3"/>
              <w:spacing w:line="390" w:lineRule="exact"/>
              <w:ind w:firstLine="0" w:firstLineChars="0"/>
              <w:jc w:val="cente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1-6</w:t>
            </w:r>
          </w:p>
        </w:tc>
        <w:tc>
          <w:tcPr>
            <w:tcW w:w="1980" w:type="dxa"/>
            <w:vAlign w:val="center"/>
          </w:tcPr>
          <w:p>
            <w:pP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肺结节患者焦虑抑郁与Th17/Treg和炎症水平改变的相关性研究</w:t>
            </w:r>
          </w:p>
        </w:tc>
        <w:tc>
          <w:tcPr>
            <w:tcW w:w="1641" w:type="dxa"/>
            <w:vAlign w:val="center"/>
          </w:tcPr>
          <w:p>
            <w:pP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中国肺癌杂志</w:t>
            </w:r>
          </w:p>
        </w:tc>
        <w:tc>
          <w:tcPr>
            <w:tcW w:w="2225" w:type="dxa"/>
            <w:vAlign w:val="center"/>
          </w:tcPr>
          <w:p>
            <w:pP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2020,23(07):554-560.</w:t>
            </w:r>
          </w:p>
        </w:tc>
        <w:tc>
          <w:tcPr>
            <w:tcW w:w="1870" w:type="dxa"/>
            <w:vAlign w:val="center"/>
          </w:tcPr>
          <w:p>
            <w:pP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王丽娜，韦媛媛，胡华青，张晓雨，郑美娟，费广鹤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6" w:type="dxa"/>
            <w:vAlign w:val="center"/>
          </w:tcPr>
          <w:p>
            <w:pPr>
              <w:pStyle w:val="3"/>
              <w:spacing w:line="390" w:lineRule="exact"/>
              <w:ind w:firstLine="0" w:firstLineChars="0"/>
              <w:jc w:val="cente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1-7</w:t>
            </w:r>
          </w:p>
        </w:tc>
        <w:tc>
          <w:tcPr>
            <w:tcW w:w="1980" w:type="dxa"/>
            <w:vAlign w:val="center"/>
          </w:tcPr>
          <w:p>
            <w:pP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恶性中心气道狭窄患者气道支架置入术后近期疗效及远期存活时间的影响因素分析</w:t>
            </w:r>
          </w:p>
        </w:tc>
        <w:tc>
          <w:tcPr>
            <w:tcW w:w="1641" w:type="dxa"/>
            <w:vAlign w:val="center"/>
          </w:tcPr>
          <w:p>
            <w:pP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中国呼吸与危重监护杂志</w:t>
            </w:r>
          </w:p>
        </w:tc>
        <w:tc>
          <w:tcPr>
            <w:tcW w:w="2225" w:type="dxa"/>
            <w:vAlign w:val="center"/>
          </w:tcPr>
          <w:p>
            <w:pP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2021,20(09):643-648.</w:t>
            </w:r>
          </w:p>
        </w:tc>
        <w:tc>
          <w:tcPr>
            <w:tcW w:w="1870" w:type="dxa"/>
            <w:vAlign w:val="center"/>
          </w:tcPr>
          <w:p>
            <w:pP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唐飞，吕丽萍，范晓云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6" w:type="dxa"/>
            <w:vAlign w:val="center"/>
          </w:tcPr>
          <w:p>
            <w:pPr>
              <w:pStyle w:val="3"/>
              <w:spacing w:line="390" w:lineRule="exact"/>
              <w:ind w:firstLine="0" w:firstLineChars="0"/>
              <w:jc w:val="cente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1-8</w:t>
            </w:r>
          </w:p>
        </w:tc>
        <w:tc>
          <w:tcPr>
            <w:tcW w:w="1980" w:type="dxa"/>
            <w:vAlign w:val="center"/>
          </w:tcPr>
          <w:p>
            <w:pP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PEDF对肺腺癌A549细胞迁移、侵袭能力和转移相关蛋白表达水平的影响</w:t>
            </w:r>
          </w:p>
        </w:tc>
        <w:tc>
          <w:tcPr>
            <w:tcW w:w="1641" w:type="dxa"/>
            <w:vAlign w:val="center"/>
          </w:tcPr>
          <w:p>
            <w:pP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安徽医科大学学报</w:t>
            </w:r>
          </w:p>
        </w:tc>
        <w:tc>
          <w:tcPr>
            <w:tcW w:w="2225" w:type="dxa"/>
            <w:vAlign w:val="center"/>
          </w:tcPr>
          <w:p>
            <w:pP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2016,51(03):345-350.</w:t>
            </w:r>
          </w:p>
        </w:tc>
        <w:tc>
          <w:tcPr>
            <w:tcW w:w="1870" w:type="dxa"/>
            <w:vAlign w:val="center"/>
          </w:tcPr>
          <w:p>
            <w:pP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程宇，束军，徐胜，李晓峰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6" w:type="dxa"/>
            <w:vAlign w:val="center"/>
          </w:tcPr>
          <w:p>
            <w:pPr>
              <w:pStyle w:val="3"/>
              <w:spacing w:line="390" w:lineRule="exact"/>
              <w:ind w:firstLine="0" w:firstLineChars="0"/>
              <w:jc w:val="cente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1-9</w:t>
            </w:r>
          </w:p>
        </w:tc>
        <w:tc>
          <w:tcPr>
            <w:tcW w:w="1980" w:type="dxa"/>
            <w:vAlign w:val="center"/>
          </w:tcPr>
          <w:p>
            <w:pP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可弯曲支气管镜下双支架置入治疗危重症恶性中心气道复合病变2例</w:t>
            </w:r>
          </w:p>
        </w:tc>
        <w:tc>
          <w:tcPr>
            <w:tcW w:w="1641" w:type="dxa"/>
            <w:vAlign w:val="center"/>
          </w:tcPr>
          <w:p>
            <w:pP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安徽医学</w:t>
            </w:r>
          </w:p>
        </w:tc>
        <w:tc>
          <w:tcPr>
            <w:tcW w:w="2225" w:type="dxa"/>
            <w:vAlign w:val="center"/>
          </w:tcPr>
          <w:p>
            <w:pP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2019,40(12):1415-1416.</w:t>
            </w:r>
          </w:p>
        </w:tc>
        <w:tc>
          <w:tcPr>
            <w:tcW w:w="1870" w:type="dxa"/>
            <w:vAlign w:val="center"/>
          </w:tcPr>
          <w:p>
            <w:pP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唐飞,吕莉萍,程宇，朱悦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6" w:type="dxa"/>
            <w:vAlign w:val="center"/>
          </w:tcPr>
          <w:p>
            <w:pPr>
              <w:pStyle w:val="3"/>
              <w:spacing w:line="390" w:lineRule="exact"/>
              <w:ind w:firstLine="0" w:firstLineChars="0"/>
              <w:jc w:val="cente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1-10</w:t>
            </w:r>
          </w:p>
        </w:tc>
        <w:tc>
          <w:tcPr>
            <w:tcW w:w="1980" w:type="dxa"/>
            <w:vAlign w:val="center"/>
          </w:tcPr>
          <w:p>
            <w:pP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支气管镜介入治疗原发性气管肿瘤的临床分析</w:t>
            </w:r>
          </w:p>
        </w:tc>
        <w:tc>
          <w:tcPr>
            <w:tcW w:w="1641" w:type="dxa"/>
            <w:vAlign w:val="center"/>
          </w:tcPr>
          <w:p>
            <w:pP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医学理论与实践</w:t>
            </w:r>
          </w:p>
        </w:tc>
        <w:tc>
          <w:tcPr>
            <w:tcW w:w="2225" w:type="dxa"/>
            <w:vAlign w:val="center"/>
          </w:tcPr>
          <w:p>
            <w:pP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2021,34(18):3186-3189.</w:t>
            </w:r>
          </w:p>
        </w:tc>
        <w:tc>
          <w:tcPr>
            <w:tcW w:w="1870" w:type="dxa"/>
            <w:vAlign w:val="center"/>
          </w:tcPr>
          <w:p>
            <w:pPr>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任静,徐凌,吕莉萍</w:t>
            </w:r>
          </w:p>
        </w:tc>
      </w:tr>
    </w:tbl>
    <w:p>
      <w:pPr>
        <w:numPr>
          <w:numId w:val="0"/>
        </w:numPr>
        <w:spacing w:line="560" w:lineRule="exact"/>
        <w:rPr>
          <w:rFonts w:hint="eastAsia" w:ascii="宋体" w:hAnsi="宋体" w:eastAsia="宋体"/>
          <w:b w:val="0"/>
          <w:bCs/>
          <w:color w:val="000000"/>
          <w:sz w:val="21"/>
          <w:szCs w:val="21"/>
        </w:rPr>
      </w:pPr>
    </w:p>
    <w:p>
      <w:pPr>
        <w:numPr>
          <w:ilvl w:val="0"/>
          <w:numId w:val="0"/>
        </w:numPr>
        <w:spacing w:line="560" w:lineRule="exact"/>
        <w:ind w:leftChars="0"/>
        <w:rPr>
          <w:rFonts w:hint="eastAsia" w:ascii="宋体" w:hAnsi="宋体" w:eastAsia="宋体"/>
          <w:b/>
          <w:bCs w:val="0"/>
          <w:color w:val="000000"/>
          <w:sz w:val="21"/>
          <w:szCs w:val="21"/>
        </w:rPr>
      </w:pPr>
      <w:r>
        <w:rPr>
          <w:rFonts w:hint="eastAsia" w:eastAsia="宋体"/>
          <w:b/>
          <w:bCs w:val="0"/>
          <w:color w:val="000000"/>
          <w:sz w:val="21"/>
          <w:szCs w:val="21"/>
          <w:lang w:eastAsia="zh-CN"/>
        </w:rPr>
        <w:t>（六）</w:t>
      </w:r>
      <w:r>
        <w:rPr>
          <w:rFonts w:hint="eastAsia" w:ascii="宋体" w:hAnsi="宋体" w:eastAsia="宋体"/>
          <w:b/>
          <w:bCs w:val="0"/>
          <w:color w:val="000000"/>
          <w:sz w:val="21"/>
          <w:szCs w:val="21"/>
        </w:rPr>
        <w:t>知识产权证明目录</w:t>
      </w:r>
    </w:p>
    <w:tbl>
      <w:tblPr>
        <w:tblStyle w:val="5"/>
        <w:tblW w:w="113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1701"/>
        <w:gridCol w:w="709"/>
        <w:gridCol w:w="1917"/>
        <w:gridCol w:w="1742"/>
        <w:gridCol w:w="2457"/>
        <w:gridCol w:w="1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序号</w:t>
            </w:r>
          </w:p>
        </w:tc>
        <w:tc>
          <w:tcPr>
            <w:tcW w:w="1701"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类别</w:t>
            </w:r>
          </w:p>
        </w:tc>
        <w:tc>
          <w:tcPr>
            <w:tcW w:w="709"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国别</w:t>
            </w:r>
          </w:p>
        </w:tc>
        <w:tc>
          <w:tcPr>
            <w:tcW w:w="1917"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专利号</w:t>
            </w:r>
          </w:p>
        </w:tc>
        <w:tc>
          <w:tcPr>
            <w:tcW w:w="1742"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授权</w:t>
            </w:r>
          </w:p>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时间</w:t>
            </w:r>
          </w:p>
        </w:tc>
        <w:tc>
          <w:tcPr>
            <w:tcW w:w="2457"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知识产权具体</w:t>
            </w:r>
            <w:r>
              <w:rPr>
                <w:rFonts w:ascii="宋体" w:hAnsi="宋体"/>
                <w:color w:val="000000" w:themeColor="text1"/>
                <w:sz w:val="21"/>
                <w14:textFill>
                  <w14:solidFill>
                    <w14:schemeClr w14:val="tx1"/>
                  </w14:solidFill>
                </w14:textFill>
              </w:rPr>
              <w:t>名称</w:t>
            </w:r>
          </w:p>
        </w:tc>
        <w:tc>
          <w:tcPr>
            <w:tcW w:w="1948"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全部发明人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2-1</w:t>
            </w:r>
          </w:p>
        </w:tc>
        <w:tc>
          <w:tcPr>
            <w:tcW w:w="1701"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专利</w:t>
            </w:r>
          </w:p>
        </w:tc>
        <w:tc>
          <w:tcPr>
            <w:tcW w:w="709"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中国</w:t>
            </w:r>
          </w:p>
        </w:tc>
        <w:tc>
          <w:tcPr>
            <w:tcW w:w="1917"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CN202122471052.5</w:t>
            </w:r>
          </w:p>
        </w:tc>
        <w:tc>
          <w:tcPr>
            <w:tcW w:w="1742"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2021</w:t>
            </w:r>
          </w:p>
        </w:tc>
        <w:tc>
          <w:tcPr>
            <w:tcW w:w="2457"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Times New Roman" w:hAnsi="Calibri"/>
                <w:color w:val="000008"/>
                <w:kern w:val="0"/>
                <w:sz w:val="22"/>
                <w:szCs w:val="22"/>
                <w:lang w:bidi="ar"/>
              </w:rPr>
              <w:t>一种可弯曲防摩擦的支气管镜</w:t>
            </w:r>
          </w:p>
        </w:tc>
        <w:tc>
          <w:tcPr>
            <w:tcW w:w="1948"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徐凌，叶伟，吕莉萍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2-2</w:t>
            </w:r>
          </w:p>
        </w:tc>
        <w:tc>
          <w:tcPr>
            <w:tcW w:w="1701"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专利</w:t>
            </w:r>
          </w:p>
        </w:tc>
        <w:tc>
          <w:tcPr>
            <w:tcW w:w="709"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中国</w:t>
            </w:r>
          </w:p>
        </w:tc>
        <w:tc>
          <w:tcPr>
            <w:tcW w:w="1917"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CN202120023372.1</w:t>
            </w:r>
          </w:p>
        </w:tc>
        <w:tc>
          <w:tcPr>
            <w:tcW w:w="1742"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2021</w:t>
            </w:r>
          </w:p>
        </w:tc>
        <w:tc>
          <w:tcPr>
            <w:tcW w:w="2457"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Times New Roman" w:hAnsi="Calibri"/>
                <w:color w:val="000008"/>
                <w:kern w:val="0"/>
                <w:sz w:val="22"/>
                <w:szCs w:val="22"/>
                <w:lang w:bidi="ar"/>
              </w:rPr>
              <w:t>一种便于肺泡灌洗液过滤取样装置</w:t>
            </w:r>
          </w:p>
        </w:tc>
        <w:tc>
          <w:tcPr>
            <w:tcW w:w="1948"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徐凌，叶伟，吕莉萍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2-3</w:t>
            </w:r>
          </w:p>
        </w:tc>
        <w:tc>
          <w:tcPr>
            <w:tcW w:w="1701"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专利</w:t>
            </w:r>
          </w:p>
        </w:tc>
        <w:tc>
          <w:tcPr>
            <w:tcW w:w="709"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中国</w:t>
            </w:r>
          </w:p>
        </w:tc>
        <w:tc>
          <w:tcPr>
            <w:tcW w:w="1917"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ZL202121273589.4</w:t>
            </w:r>
          </w:p>
        </w:tc>
        <w:tc>
          <w:tcPr>
            <w:tcW w:w="1742"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2021</w:t>
            </w:r>
          </w:p>
        </w:tc>
        <w:tc>
          <w:tcPr>
            <w:tcW w:w="2457"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一种叶段支气管狭窄扩张钳</w:t>
            </w:r>
          </w:p>
        </w:tc>
        <w:tc>
          <w:tcPr>
            <w:tcW w:w="1948"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程超，吕莉萍，查显奎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2-4</w:t>
            </w:r>
          </w:p>
        </w:tc>
        <w:tc>
          <w:tcPr>
            <w:tcW w:w="1701"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专利</w:t>
            </w:r>
          </w:p>
        </w:tc>
        <w:tc>
          <w:tcPr>
            <w:tcW w:w="709"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中国</w:t>
            </w:r>
          </w:p>
        </w:tc>
        <w:tc>
          <w:tcPr>
            <w:tcW w:w="1917"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XL202222082231.4</w:t>
            </w:r>
          </w:p>
        </w:tc>
        <w:tc>
          <w:tcPr>
            <w:tcW w:w="1742"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2022</w:t>
            </w:r>
          </w:p>
        </w:tc>
        <w:tc>
          <w:tcPr>
            <w:tcW w:w="2457"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一种改良气切金属套管</w:t>
            </w:r>
          </w:p>
        </w:tc>
        <w:tc>
          <w:tcPr>
            <w:tcW w:w="1948"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程超，吕莉萍，查显奎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2-5</w:t>
            </w:r>
          </w:p>
        </w:tc>
        <w:tc>
          <w:tcPr>
            <w:tcW w:w="1701"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专利</w:t>
            </w:r>
          </w:p>
        </w:tc>
        <w:tc>
          <w:tcPr>
            <w:tcW w:w="709"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中国</w:t>
            </w:r>
          </w:p>
        </w:tc>
        <w:tc>
          <w:tcPr>
            <w:tcW w:w="1917"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ZL201921577049.8</w:t>
            </w:r>
          </w:p>
        </w:tc>
        <w:tc>
          <w:tcPr>
            <w:tcW w:w="1742"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2019</w:t>
            </w:r>
          </w:p>
        </w:tc>
        <w:tc>
          <w:tcPr>
            <w:tcW w:w="2457"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冷冻探头</w:t>
            </w:r>
          </w:p>
        </w:tc>
        <w:tc>
          <w:tcPr>
            <w:tcW w:w="1948" w:type="dxa"/>
            <w:vAlign w:val="center"/>
          </w:tcPr>
          <w:p>
            <w:pPr>
              <w:pStyle w:val="3"/>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查显奎、吕莉萍、张志惠</w:t>
            </w:r>
          </w:p>
        </w:tc>
      </w:tr>
    </w:tbl>
    <w:p>
      <w:pPr>
        <w:numPr>
          <w:ilvl w:val="0"/>
          <w:numId w:val="0"/>
        </w:numPr>
        <w:spacing w:line="560" w:lineRule="exact"/>
        <w:ind w:leftChars="0"/>
        <w:rPr>
          <w:rFonts w:hint="eastAsia" w:eastAsia="宋体"/>
          <w:b/>
          <w:bCs w:val="0"/>
          <w:color w:val="000000"/>
          <w:sz w:val="21"/>
          <w:szCs w:val="21"/>
          <w:lang w:val="en-US" w:eastAsia="zh-CN"/>
        </w:rPr>
      </w:pPr>
    </w:p>
    <w:p>
      <w:pPr>
        <w:numPr>
          <w:ilvl w:val="0"/>
          <w:numId w:val="0"/>
        </w:numPr>
        <w:spacing w:line="560" w:lineRule="exact"/>
        <w:ind w:leftChars="0"/>
        <w:rPr>
          <w:rFonts w:hint="eastAsia" w:eastAsia="宋体"/>
          <w:b/>
          <w:bCs w:val="0"/>
          <w:color w:val="000000"/>
          <w:sz w:val="21"/>
          <w:szCs w:val="21"/>
          <w:lang w:val="en-US" w:eastAsia="zh-CN"/>
        </w:rPr>
      </w:pPr>
    </w:p>
    <w:p>
      <w:pPr>
        <w:numPr>
          <w:ilvl w:val="0"/>
          <w:numId w:val="0"/>
        </w:numPr>
        <w:spacing w:line="560" w:lineRule="exact"/>
        <w:ind w:leftChars="0"/>
        <w:rPr>
          <w:rFonts w:hint="eastAsia" w:eastAsia="宋体"/>
          <w:b/>
          <w:bCs w:val="0"/>
          <w:color w:val="000000"/>
          <w:sz w:val="21"/>
          <w:szCs w:val="21"/>
          <w:lang w:val="en-US" w:eastAsia="zh-CN"/>
        </w:rPr>
      </w:pPr>
    </w:p>
    <w:p>
      <w:pPr>
        <w:numPr>
          <w:ilvl w:val="0"/>
          <w:numId w:val="0"/>
        </w:numPr>
        <w:spacing w:line="560" w:lineRule="exact"/>
        <w:ind w:leftChars="0"/>
        <w:rPr>
          <w:rFonts w:hint="eastAsia" w:eastAsia="宋体"/>
          <w:b/>
          <w:bCs w:val="0"/>
          <w:color w:val="000000"/>
          <w:sz w:val="21"/>
          <w:szCs w:val="21"/>
          <w:lang w:val="en-US" w:eastAsia="zh-CN"/>
        </w:rPr>
      </w:pPr>
    </w:p>
    <w:p>
      <w:pPr>
        <w:numPr>
          <w:ilvl w:val="0"/>
          <w:numId w:val="0"/>
        </w:numPr>
        <w:spacing w:line="560" w:lineRule="exact"/>
        <w:ind w:leftChars="0"/>
        <w:rPr>
          <w:rFonts w:hint="eastAsia" w:eastAsia="宋体"/>
          <w:b/>
          <w:bCs w:val="0"/>
          <w:color w:val="000000"/>
          <w:sz w:val="21"/>
          <w:szCs w:val="21"/>
          <w:lang w:val="en-US" w:eastAsia="zh-CN"/>
        </w:rPr>
      </w:pPr>
    </w:p>
    <w:p>
      <w:pPr>
        <w:numPr>
          <w:ilvl w:val="0"/>
          <w:numId w:val="0"/>
        </w:numPr>
        <w:spacing w:line="560" w:lineRule="exact"/>
        <w:ind w:leftChars="0"/>
        <w:rPr>
          <w:rFonts w:hint="eastAsia" w:eastAsia="宋体"/>
          <w:b/>
          <w:bCs w:val="0"/>
          <w:color w:val="000000"/>
          <w:sz w:val="21"/>
          <w:szCs w:val="21"/>
          <w:lang w:val="en-US" w:eastAsia="zh-CN"/>
        </w:rPr>
      </w:pPr>
    </w:p>
    <w:p>
      <w:pPr>
        <w:numPr>
          <w:ilvl w:val="0"/>
          <w:numId w:val="0"/>
        </w:numPr>
        <w:spacing w:line="560" w:lineRule="exact"/>
        <w:ind w:leftChars="0"/>
        <w:rPr>
          <w:rFonts w:hint="eastAsia" w:ascii="宋体" w:hAnsi="宋体" w:eastAsia="宋体"/>
          <w:b/>
          <w:bCs w:val="0"/>
          <w:color w:val="000000"/>
          <w:sz w:val="21"/>
          <w:szCs w:val="21"/>
          <w:lang w:val="en-US" w:eastAsia="zh-CN"/>
        </w:rPr>
      </w:pPr>
      <w:r>
        <w:rPr>
          <w:rFonts w:hint="eastAsia" w:eastAsia="宋体"/>
          <w:b/>
          <w:bCs w:val="0"/>
          <w:color w:val="000000"/>
          <w:sz w:val="21"/>
          <w:szCs w:val="21"/>
          <w:lang w:val="en-US" w:eastAsia="zh-CN"/>
        </w:rPr>
        <w:t>（七）完成人情况</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项目完成人徐凌（第1）、吕莉萍（第2）、张鹏（第3）、唐飞（第4）、查显奎（第5）、程超（第6）、叶伟（第7）、胡淑慧（第8）、吴迎凤（第9）、曹鹏（第10）均为安徽省胸科医院介入肺脏技术研究团队成员。</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安徽省胸科医院介入肺脏技术研究团队成员主要开展了介入肺脏技术在胸部肿瘤的应用研究，合作证明材料主要包括相关论文以及专利。</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p>
    <w:tbl>
      <w:tblPr>
        <w:tblStyle w:val="4"/>
        <w:tblW w:w="83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1276"/>
        <w:gridCol w:w="1559"/>
        <w:gridCol w:w="1134"/>
        <w:gridCol w:w="1560"/>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序号</w:t>
            </w:r>
          </w:p>
        </w:tc>
        <w:tc>
          <w:tcPr>
            <w:tcW w:w="127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合作方式</w:t>
            </w:r>
          </w:p>
        </w:tc>
        <w:tc>
          <w:tcPr>
            <w:tcW w:w="155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合作者</w:t>
            </w:r>
          </w:p>
        </w:tc>
        <w:tc>
          <w:tcPr>
            <w:tcW w:w="113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合作时间</w:t>
            </w:r>
          </w:p>
        </w:tc>
        <w:tc>
          <w:tcPr>
            <w:tcW w:w="156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合作成果</w:t>
            </w:r>
          </w:p>
        </w:tc>
        <w:tc>
          <w:tcPr>
            <w:tcW w:w="198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1</w:t>
            </w:r>
          </w:p>
        </w:tc>
        <w:tc>
          <w:tcPr>
            <w:tcW w:w="127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论文合作</w:t>
            </w:r>
          </w:p>
        </w:tc>
        <w:tc>
          <w:tcPr>
            <w:tcW w:w="155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徐凌（第1），吕莉萍（第2）</w:t>
            </w:r>
          </w:p>
        </w:tc>
        <w:tc>
          <w:tcPr>
            <w:tcW w:w="113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2016-2022年</w:t>
            </w:r>
          </w:p>
        </w:tc>
        <w:tc>
          <w:tcPr>
            <w:tcW w:w="156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论文和专利</w:t>
            </w:r>
          </w:p>
        </w:tc>
        <w:tc>
          <w:tcPr>
            <w:tcW w:w="198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高龄肺癌患者的临床特征及预后因素；124例肺鳞癌患者的临床病理特征及预后因素分析；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2</w:t>
            </w:r>
          </w:p>
        </w:tc>
        <w:tc>
          <w:tcPr>
            <w:tcW w:w="127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论文合作</w:t>
            </w:r>
          </w:p>
        </w:tc>
        <w:tc>
          <w:tcPr>
            <w:tcW w:w="155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徐凌（第1），张鹏（第3）</w:t>
            </w:r>
          </w:p>
        </w:tc>
        <w:tc>
          <w:tcPr>
            <w:tcW w:w="113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2016-2022年</w:t>
            </w:r>
          </w:p>
        </w:tc>
        <w:tc>
          <w:tcPr>
            <w:tcW w:w="156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论文</w:t>
            </w:r>
            <w:bookmarkStart w:id="0" w:name="_GoBack"/>
            <w:bookmarkEnd w:id="0"/>
          </w:p>
        </w:tc>
        <w:tc>
          <w:tcPr>
            <w:tcW w:w="198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71例胸腺癌的临床预后因素分析；</w:t>
            </w:r>
            <w:r>
              <w:rPr>
                <w:rFonts w:hint="default" w:ascii="宋体" w:hAnsi="宋体" w:eastAsia="宋体"/>
                <w:b w:val="0"/>
                <w:bCs/>
                <w:color w:val="000000"/>
                <w:sz w:val="21"/>
                <w:szCs w:val="21"/>
                <w:lang w:val="en-US" w:eastAsia="zh-CN"/>
              </w:rPr>
              <w:t>High level of FHL2 exacerbates the outcome of non-small cell lung cancer (NSCLC) patients and the malignant phenotype in NSCLC cells.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3</w:t>
            </w:r>
          </w:p>
        </w:tc>
        <w:tc>
          <w:tcPr>
            <w:tcW w:w="127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论文合作</w:t>
            </w:r>
          </w:p>
        </w:tc>
        <w:tc>
          <w:tcPr>
            <w:tcW w:w="155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吕莉萍（第2），</w:t>
            </w:r>
          </w:p>
        </w:tc>
        <w:tc>
          <w:tcPr>
            <w:tcW w:w="113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2016-2022年</w:t>
            </w:r>
          </w:p>
        </w:tc>
        <w:tc>
          <w:tcPr>
            <w:tcW w:w="156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论文</w:t>
            </w:r>
          </w:p>
        </w:tc>
        <w:tc>
          <w:tcPr>
            <w:tcW w:w="198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支气管镜介入治疗原发性气管肿瘤的临床分析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80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4</w:t>
            </w:r>
          </w:p>
        </w:tc>
        <w:tc>
          <w:tcPr>
            <w:tcW w:w="127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论文合作</w:t>
            </w:r>
          </w:p>
        </w:tc>
        <w:tc>
          <w:tcPr>
            <w:tcW w:w="155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唐飞（第4），吕莉萍（第2）</w:t>
            </w:r>
          </w:p>
        </w:tc>
        <w:tc>
          <w:tcPr>
            <w:tcW w:w="113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2016-2022年</w:t>
            </w:r>
          </w:p>
        </w:tc>
        <w:tc>
          <w:tcPr>
            <w:tcW w:w="156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论文</w:t>
            </w:r>
          </w:p>
        </w:tc>
        <w:tc>
          <w:tcPr>
            <w:tcW w:w="198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恶性中心气道狭窄患者气道支架置入术后近期疗效及远期存活时间的影响因素分析；可弯曲支气管镜下双支架置入治疗危重症恶性中心气道复合病变2例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5</w:t>
            </w:r>
          </w:p>
        </w:tc>
        <w:tc>
          <w:tcPr>
            <w:tcW w:w="127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专利合作</w:t>
            </w:r>
          </w:p>
        </w:tc>
        <w:tc>
          <w:tcPr>
            <w:tcW w:w="155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查显奎（第5）、吕莉萍（第2）</w:t>
            </w:r>
          </w:p>
        </w:tc>
        <w:tc>
          <w:tcPr>
            <w:tcW w:w="113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2019</w:t>
            </w:r>
          </w:p>
        </w:tc>
        <w:tc>
          <w:tcPr>
            <w:tcW w:w="156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专利</w:t>
            </w:r>
          </w:p>
        </w:tc>
        <w:tc>
          <w:tcPr>
            <w:tcW w:w="198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ZL201921577049.8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6</w:t>
            </w:r>
          </w:p>
        </w:tc>
        <w:tc>
          <w:tcPr>
            <w:tcW w:w="127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专利合作</w:t>
            </w:r>
          </w:p>
        </w:tc>
        <w:tc>
          <w:tcPr>
            <w:tcW w:w="155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程超（第6），吕莉萍（第2），查显奎（第5）</w:t>
            </w:r>
          </w:p>
        </w:tc>
        <w:tc>
          <w:tcPr>
            <w:tcW w:w="113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2021-2022</w:t>
            </w:r>
          </w:p>
        </w:tc>
        <w:tc>
          <w:tcPr>
            <w:tcW w:w="156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专利</w:t>
            </w:r>
          </w:p>
        </w:tc>
        <w:tc>
          <w:tcPr>
            <w:tcW w:w="198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ZL202121273589.4</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XL202222082231.4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7</w:t>
            </w:r>
          </w:p>
        </w:tc>
        <w:tc>
          <w:tcPr>
            <w:tcW w:w="127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专利合作</w:t>
            </w:r>
          </w:p>
        </w:tc>
        <w:tc>
          <w:tcPr>
            <w:tcW w:w="155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叶伟（第7），徐凌（第1 ），吕莉萍（第2）</w:t>
            </w:r>
          </w:p>
        </w:tc>
        <w:tc>
          <w:tcPr>
            <w:tcW w:w="113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2021</w:t>
            </w:r>
          </w:p>
        </w:tc>
        <w:tc>
          <w:tcPr>
            <w:tcW w:w="156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专利</w:t>
            </w:r>
          </w:p>
        </w:tc>
        <w:tc>
          <w:tcPr>
            <w:tcW w:w="198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CN202122471052.5CN202120023372.1</w:t>
            </w:r>
          </w:p>
        </w:tc>
      </w:tr>
    </w:tbl>
    <w:p>
      <w:pPr>
        <w:numPr>
          <w:ilvl w:val="0"/>
          <w:numId w:val="0"/>
        </w:numPr>
        <w:spacing w:line="560" w:lineRule="exact"/>
        <w:ind w:leftChars="0"/>
        <w:rPr>
          <w:rFonts w:hint="eastAsia" w:ascii="宋体" w:hAnsi="宋体" w:eastAsia="宋体"/>
          <w:b/>
          <w:bCs w:val="0"/>
          <w:color w:val="000000"/>
          <w:sz w:val="21"/>
          <w:szCs w:val="21"/>
          <w:lang w:val="en-US" w:eastAsia="zh-CN"/>
        </w:rPr>
      </w:pPr>
    </w:p>
    <w:p>
      <w:pPr>
        <w:numPr>
          <w:ilvl w:val="0"/>
          <w:numId w:val="0"/>
        </w:numPr>
        <w:spacing w:line="560" w:lineRule="exact"/>
        <w:ind w:leftChars="0"/>
        <w:rPr>
          <w:rFonts w:hint="eastAsia" w:ascii="宋体" w:hAnsi="宋体" w:eastAsia="宋体"/>
          <w:b/>
          <w:bCs w:val="0"/>
          <w:color w:val="000000"/>
          <w:sz w:val="21"/>
          <w:szCs w:val="21"/>
          <w:lang w:val="en-US" w:eastAsia="zh-CN"/>
        </w:rPr>
      </w:pPr>
      <w:r>
        <w:rPr>
          <w:rFonts w:hint="eastAsia" w:ascii="宋体" w:hAnsi="宋体" w:eastAsia="宋体"/>
          <w:b/>
          <w:bCs w:val="0"/>
          <w:color w:val="000000"/>
          <w:sz w:val="21"/>
          <w:szCs w:val="21"/>
          <w:lang w:val="en-US" w:eastAsia="zh-CN"/>
        </w:rPr>
        <w:t>（八）完成单位情况</w:t>
      </w:r>
    </w:p>
    <w:p>
      <w:pPr>
        <w:numPr>
          <w:ilvl w:val="0"/>
          <w:numId w:val="0"/>
        </w:numPr>
        <w:spacing w:line="560" w:lineRule="exact"/>
        <w:ind w:leftChars="0"/>
        <w:rPr>
          <w:rFonts w:hint="eastAsia" w:ascii="宋体" w:hAnsi="宋体" w:eastAsia="宋体"/>
          <w:b/>
          <w:bCs w:val="0"/>
          <w:color w:val="000000"/>
          <w:sz w:val="21"/>
          <w:szCs w:val="21"/>
          <w:lang w:val="en-US" w:eastAsia="zh-CN"/>
        </w:rPr>
      </w:pPr>
      <w:r>
        <w:rPr>
          <w:rFonts w:hint="eastAsia" w:ascii="宋体" w:hAnsi="宋体" w:eastAsia="宋体"/>
          <w:b/>
          <w:bCs w:val="0"/>
          <w:color w:val="000000"/>
          <w:sz w:val="21"/>
          <w:szCs w:val="21"/>
          <w:lang w:val="en-US" w:eastAsia="zh-CN"/>
        </w:rPr>
        <w:t>安徽省胸科医院（省结核病防治研究所），排名1</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安徽省胸科医院是《介入肺脏技术在胸部肿瘤的应用》的主要完成单位，单位自2016年该项目实施以来，从医院政策、技术多层面给于大力支持与帮助；从高精尖设备的购置、学科的设置，到人才的引进、科研项目的支持等诸多方面给与帮助。具体包括：1. 人才引进和培养：积极引进和培养高水平技术人才，提供具有竞争力职称晋升机会以及丰富的学术交流平台，吸引和留住优秀人才。2. 资金投入和设备更新：持续加大对学科的资金投入，配备先进的医疗设备和提供技术支持，确保科室具备业界领先的医疗技术和服务质量。3. 加大宣传：医院相关部门针对我科加强宣传推广，提高服务质量，拓展服务范围，提升我科室知名度和影响力，通过多种渠道吸引更多患者和优质医疗资源。4. 管理和评价机制：建立完善的科室管理和评价机制，对科室进行定期评估和考核。通过有效的管理手段及时发现和解决问题，提升科室的管理水平和绩效表现。</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介入肺脏技术在胸部肿瘤的应用》自2016年应用至今，得到了安徽省胸科医院的全力支持，在医院相关部门的协助下，成功举办8年国家级继续教育学习班、2届省级继续教育学习班，并承担卫健委首批适宜技术推广项目及卫健委高级研修班项目等，并在科教科协助下获得2019年安徽医学科学基层奖。另外在开展各项介入肺脏技术的过程中，院方各部门统筹协调，保障项目的顺利进行，为该项目的顺利开展提供了坚实的后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kMmUwZTAxYmQ1Y2ZiMjI0OGQ4MjIwNDk2ODhjMmEifQ=="/>
  </w:docVars>
  <w:rsids>
    <w:rsidRoot w:val="1E111337"/>
    <w:rsid w:val="099E62D5"/>
    <w:rsid w:val="0E76520D"/>
    <w:rsid w:val="17B005EC"/>
    <w:rsid w:val="188B1508"/>
    <w:rsid w:val="1E111337"/>
    <w:rsid w:val="26926505"/>
    <w:rsid w:val="2ED33FFE"/>
    <w:rsid w:val="30C45C3C"/>
    <w:rsid w:val="31A600F3"/>
    <w:rsid w:val="38F56926"/>
    <w:rsid w:val="3F4C74AC"/>
    <w:rsid w:val="4ACC7988"/>
    <w:rsid w:val="50780358"/>
    <w:rsid w:val="5B9062C9"/>
    <w:rsid w:val="5D5522E2"/>
    <w:rsid w:val="60B5389D"/>
    <w:rsid w:val="63493E13"/>
    <w:rsid w:val="6B07083C"/>
    <w:rsid w:val="70A351D4"/>
    <w:rsid w:val="77112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cs="宋体" w:eastAsiaTheme="minorEastAsia"/>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Plain Text"/>
    <w:basedOn w:val="1"/>
    <w:qFormat/>
    <w:uiPriority w:val="0"/>
    <w:pPr>
      <w:spacing w:line="360" w:lineRule="auto"/>
      <w:ind w:firstLine="480" w:firstLineChars="200"/>
    </w:pPr>
    <w:rPr>
      <w:rFonts w:ascii="仿宋_GB2312"/>
      <w:sz w:val="24"/>
    </w:rPr>
  </w:style>
  <w:style w:type="table" w:styleId="5">
    <w:name w:val="Table Grid"/>
    <w:basedOn w:val="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3164</Words>
  <Characters>3505</Characters>
  <Lines>0</Lines>
  <Paragraphs>0</Paragraphs>
  <TotalTime>2</TotalTime>
  <ScaleCrop>false</ScaleCrop>
  <LinksUpToDate>false</LinksUpToDate>
  <CharactersWithSpaces>3547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2024-01-24T07:31:00Z</dcterms:created>
  <dc:creator>张菁菁</dc:creator>
  <cp:lastModifiedBy>舊莳光</cp:lastModifiedBy>
  <cp:lastPrinted>2024-01-25T00:29:00Z</cp:lastPrinted>
  <dcterms:modified xsi:type="dcterms:W3CDTF">2024-06-04T09:06:30Z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0CF1C45F2F1747D7A10A9032D60C3C45_13</vt:lpwstr>
  </property>
</Properties>
</file>