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30" w:firstLine="888" w:firstLineChars="300"/>
        <w:jc w:val="both"/>
        <w:rPr>
          <w:rFonts w:ascii="微软雅黑" w:hAnsi="微软雅黑" w:eastAsia="微软雅黑" w:cs="微软雅黑"/>
          <w:b/>
          <w:bCs/>
          <w:i w:val="0"/>
          <w:iCs w:val="0"/>
          <w:caps w:val="0"/>
          <w:color w:val="333333"/>
          <w:spacing w:val="8"/>
          <w:kern w:val="0"/>
          <w:sz w:val="28"/>
          <w:szCs w:val="28"/>
          <w:bdr w:val="none" w:color="auto" w:sz="0" w:space="0"/>
          <w:shd w:val="clear" w:fill="FFFFFF"/>
          <w:lang w:val="en-US" w:eastAsia="zh-CN" w:bidi="ar"/>
        </w:rPr>
      </w:pPr>
      <w:r>
        <w:rPr>
          <w:rFonts w:hint="eastAsia" w:ascii="微软雅黑" w:hAnsi="微软雅黑" w:eastAsia="微软雅黑" w:cs="微软雅黑"/>
          <w:b/>
          <w:bCs/>
          <w:i w:val="0"/>
          <w:iCs w:val="0"/>
          <w:caps w:val="0"/>
          <w:color w:val="333333"/>
          <w:spacing w:val="8"/>
          <w:kern w:val="0"/>
          <w:sz w:val="28"/>
          <w:szCs w:val="28"/>
          <w:bdr w:val="none" w:color="auto" w:sz="0" w:space="0"/>
          <w:shd w:val="clear" w:fill="FFFFFF"/>
          <w:lang w:val="en-US" w:eastAsia="zh-CN" w:bidi="ar"/>
        </w:rPr>
        <w:t>药物临床试验伦理审查 - 药物临床试验伦理委员会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30" w:firstLine="420"/>
        <w:jc w:val="both"/>
        <w:rPr>
          <w:rFonts w:ascii="Calibri" w:hAnsi="Calibri" w:cs="Calibri"/>
          <w:sz w:val="21"/>
          <w:szCs w:val="21"/>
        </w:rPr>
      </w:pPr>
      <w:r>
        <w:rPr>
          <w:rFonts w:ascii="微软雅黑" w:hAnsi="微软雅黑" w:eastAsia="微软雅黑" w:cs="微软雅黑"/>
          <w:i w:val="0"/>
          <w:iCs w:val="0"/>
          <w:caps w:val="0"/>
          <w:color w:val="333333"/>
          <w:spacing w:val="8"/>
          <w:kern w:val="0"/>
          <w:sz w:val="23"/>
          <w:szCs w:val="23"/>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8"/>
          <w:kern w:val="0"/>
          <w:sz w:val="23"/>
          <w:szCs w:val="23"/>
          <w:bdr w:val="none" w:color="auto" w:sz="0" w:space="0"/>
          <w:shd w:val="clear" w:fill="FFFFFF"/>
          <w:lang w:val="en-US" w:eastAsia="zh-CN" w:bidi="ar"/>
        </w:rPr>
        <w:t>根据《药物临床试验质量管理规范》（2020年第57号）要求，为做好我院临床试验安全性事件报告及管理工作，保障受试者安全和权益，遵照GCP相关要求，现结合本院实际情况制定SAE/SUSAR报告工作要求如下。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30" w:firstLine="420"/>
        <w:jc w:val="left"/>
        <w:rPr>
          <w:rFonts w:hint="default" w:ascii="Calibri" w:hAnsi="Calibri" w:cs="Calibri"/>
          <w:sz w:val="21"/>
          <w:szCs w:val="21"/>
        </w:rPr>
      </w:pPr>
      <w:r>
        <w:rPr>
          <w:rFonts w:hint="eastAsia" w:ascii="微软雅黑" w:hAnsi="微软雅黑" w:eastAsia="微软雅黑" w:cs="微软雅黑"/>
          <w:i w:val="0"/>
          <w:iCs w:val="0"/>
          <w:caps w:val="0"/>
          <w:color w:val="333333"/>
          <w:spacing w:val="8"/>
          <w:kern w:val="0"/>
          <w:sz w:val="30"/>
          <w:szCs w:val="30"/>
          <w:bdr w:val="none" w:color="auto" w:sz="0" w:space="0"/>
          <w:shd w:val="clear" w:fill="FFFFFF"/>
          <w:lang w:val="en-US" w:eastAsia="zh-CN" w:bidi="ar"/>
        </w:rPr>
        <w:t>一、定义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8" w:firstLine="514"/>
        <w:jc w:val="both"/>
        <w:rPr>
          <w:rFonts w:hint="default" w:ascii="Calibri" w:hAnsi="Calibri" w:cs="Calibri"/>
          <w:sz w:val="21"/>
          <w:szCs w:val="21"/>
        </w:rPr>
      </w:pPr>
      <w:r>
        <w:rPr>
          <w:rFonts w:hint="eastAsia" w:ascii="宋体" w:hAnsi="宋体" w:eastAsia="宋体" w:cs="宋体"/>
          <w:b/>
          <w:bCs/>
          <w:i w:val="0"/>
          <w:iCs w:val="0"/>
          <w:caps w:val="0"/>
          <w:color w:val="333333"/>
          <w:spacing w:val="8"/>
          <w:kern w:val="0"/>
          <w:sz w:val="24"/>
          <w:szCs w:val="24"/>
          <w:bdr w:val="none" w:color="auto" w:sz="0" w:space="0"/>
          <w:shd w:val="clear" w:fill="FFFFFF"/>
          <w:lang w:val="en-US" w:eastAsia="zh-CN" w:bidi="ar"/>
        </w:rPr>
        <w:t>1. 严重不良事件（Serious Adverse Event，SAE），</w:t>
      </w: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指受试者接受试验用药品后出现死亡、危及生命、永久或者严重的残疾或者功能丧失、受试者需要住院治疗或者延长住院时间，以及先天性异常或者出生缺陷等不良医学事件。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6" w:firstLine="480"/>
        <w:jc w:val="both"/>
        <w:rPr>
          <w:rFonts w:hint="default" w:ascii="Calibri" w:hAnsi="Calibri" w:cs="Calibri"/>
          <w:sz w:val="21"/>
          <w:szCs w:val="21"/>
        </w:rPr>
      </w:pPr>
      <w:r>
        <w:rPr>
          <w:rFonts w:hint="eastAsia" w:ascii="宋体" w:hAnsi="宋体" w:eastAsia="宋体" w:cs="宋体"/>
          <w:b/>
          <w:bCs/>
          <w:i w:val="0"/>
          <w:iCs w:val="0"/>
          <w:caps w:val="0"/>
          <w:color w:val="333333"/>
          <w:spacing w:val="8"/>
          <w:kern w:val="0"/>
          <w:sz w:val="24"/>
          <w:szCs w:val="24"/>
          <w:bdr w:val="none" w:color="auto" w:sz="0" w:space="0"/>
          <w:shd w:val="clear" w:fill="FFFFFF"/>
          <w:lang w:val="en-US" w:eastAsia="zh-CN" w:bidi="ar"/>
        </w:rPr>
        <w:t>2. 可疑且非预期严重不良反应（Suspicious and Unexpected Serious Adverse Reactions，SUSAR）</w:t>
      </w: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，指临床表现的性质和严重程度超出了试验药物研究者手册、已上市药品的说明书或者产品特性摘要等已有资料信息的可疑并且非预期的严重不良反应。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6" w:firstLine="480"/>
        <w:jc w:val="both"/>
        <w:rPr>
          <w:rFonts w:hint="default" w:ascii="Calibri" w:hAnsi="Calibri" w:cs="Calibri"/>
          <w:sz w:val="21"/>
          <w:szCs w:val="21"/>
        </w:rPr>
      </w:pPr>
      <w:r>
        <w:rPr>
          <w:rFonts w:hint="eastAsia" w:ascii="宋体" w:hAnsi="宋体" w:eastAsia="宋体" w:cs="宋体"/>
          <w:b/>
          <w:bCs/>
          <w:i w:val="0"/>
          <w:iCs w:val="0"/>
          <w:caps w:val="0"/>
          <w:color w:val="333333"/>
          <w:spacing w:val="8"/>
          <w:kern w:val="0"/>
          <w:sz w:val="24"/>
          <w:szCs w:val="24"/>
          <w:bdr w:val="none" w:color="auto" w:sz="0" w:space="0"/>
          <w:shd w:val="clear" w:fill="FFFFFF"/>
          <w:lang w:val="en-US" w:eastAsia="zh-CN" w:bidi="ar"/>
        </w:rPr>
        <w:t>3. 研发期间安全性更新报告（Development Safety Update Report，以下统称：DSUR）</w:t>
      </w: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的主要目的是对报告周期内收集到的与在研药物（无论上市与否）相关的安全性信息进行全面深入的年度回顾和评估。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30" w:firstLine="420"/>
        <w:jc w:val="both"/>
        <w:rPr>
          <w:rFonts w:hint="default" w:ascii="Calibri" w:hAnsi="Calibri" w:cs="Calibri"/>
          <w:sz w:val="21"/>
          <w:szCs w:val="21"/>
        </w:rPr>
      </w:pPr>
      <w:r>
        <w:rPr>
          <w:rFonts w:hint="eastAsia" w:ascii="微软雅黑" w:hAnsi="微软雅黑" w:eastAsia="微软雅黑" w:cs="微软雅黑"/>
          <w:i w:val="0"/>
          <w:iCs w:val="0"/>
          <w:caps w:val="0"/>
          <w:color w:val="333333"/>
          <w:spacing w:val="8"/>
          <w:kern w:val="0"/>
          <w:sz w:val="28"/>
          <w:szCs w:val="28"/>
          <w:bdr w:val="none" w:color="auto" w:sz="0" w:space="0"/>
          <w:shd w:val="clear" w:fill="FFFFFF"/>
          <w:lang w:val="en-US" w:eastAsia="zh-CN" w:bidi="ar"/>
        </w:rPr>
        <w:t>二、伦理委员会受理临床试验安全性事件报告范围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8" w:firstLine="540"/>
        <w:jc w:val="both"/>
        <w:rPr>
          <w:rFonts w:hint="default" w:ascii="Calibri" w:hAnsi="Calibri" w:cs="Calibri"/>
          <w:sz w:val="21"/>
          <w:szCs w:val="21"/>
        </w:rPr>
      </w:pPr>
      <w:r>
        <w:rPr>
          <w:rFonts w:hint="eastAsia" w:ascii="宋体" w:hAnsi="宋体" w:eastAsia="宋体" w:cs="宋体"/>
          <w:i w:val="0"/>
          <w:iCs w:val="0"/>
          <w:caps w:val="0"/>
          <w:color w:val="3E3E3E"/>
          <w:spacing w:val="15"/>
          <w:kern w:val="0"/>
          <w:sz w:val="24"/>
          <w:szCs w:val="24"/>
          <w:bdr w:val="none" w:color="auto" w:sz="0" w:space="0"/>
          <w:shd w:val="clear" w:fill="FFFFFF"/>
          <w:lang w:val="en-US" w:eastAsia="zh-CN" w:bidi="ar"/>
        </w:rPr>
        <w:t>2020版GCP中，对于安全性报告，由旧版GCP的研究者发现严重不良事件（Serious Adverse Event, 以下统称：SAE）后及时报告申办者、临床试验机构、伦理委员会、药品监督管理部门和卫生健康主管部门，调整为</w:t>
      </w:r>
      <w:r>
        <w:rPr>
          <w:rFonts w:hint="eastAsia" w:ascii="宋体" w:hAnsi="宋体" w:eastAsia="宋体" w:cs="宋体"/>
          <w:b/>
          <w:bCs/>
          <w:i w:val="0"/>
          <w:iCs w:val="0"/>
          <w:caps w:val="0"/>
          <w:color w:val="3E3E3E"/>
          <w:spacing w:val="15"/>
          <w:kern w:val="0"/>
          <w:sz w:val="24"/>
          <w:szCs w:val="24"/>
          <w:bdr w:val="none" w:color="auto" w:sz="0" w:space="0"/>
          <w:shd w:val="clear" w:fill="FFFFFF"/>
          <w:lang w:val="en-US" w:eastAsia="zh-CN" w:bidi="ar"/>
        </w:rPr>
        <w:t>研究者向申办者报告SAE，由申办者进行评估，再将评估后的可疑且非预期严重不良反应</w:t>
      </w:r>
      <w:r>
        <w:rPr>
          <w:rFonts w:hint="eastAsia" w:ascii="宋体" w:hAnsi="宋体" w:eastAsia="宋体" w:cs="宋体"/>
          <w:i w:val="0"/>
          <w:iCs w:val="0"/>
          <w:caps w:val="0"/>
          <w:color w:val="3E3E3E"/>
          <w:spacing w:val="15"/>
          <w:kern w:val="0"/>
          <w:sz w:val="24"/>
          <w:szCs w:val="24"/>
          <w:bdr w:val="none" w:color="auto" w:sz="0" w:space="0"/>
          <w:shd w:val="clear" w:fill="FFFFFF"/>
          <w:lang w:val="en-US" w:eastAsia="zh-CN" w:bidi="ar"/>
        </w:rPr>
        <w:t>(Suspected Unexpected Serious Adverse Reaction,以下统称：SUSAR）</w:t>
      </w:r>
      <w:r>
        <w:rPr>
          <w:rFonts w:hint="eastAsia" w:ascii="宋体" w:hAnsi="宋体" w:eastAsia="宋体" w:cs="宋体"/>
          <w:b/>
          <w:bCs/>
          <w:i w:val="0"/>
          <w:iCs w:val="0"/>
          <w:caps w:val="0"/>
          <w:color w:val="3E3E3E"/>
          <w:spacing w:val="15"/>
          <w:kern w:val="0"/>
          <w:sz w:val="24"/>
          <w:szCs w:val="24"/>
          <w:bdr w:val="none" w:color="auto" w:sz="0" w:space="0"/>
          <w:shd w:val="clear" w:fill="FFFFFF"/>
          <w:lang w:val="en-US" w:eastAsia="zh-CN" w:bidi="ar"/>
        </w:rPr>
        <w:t>报告，快速报告给所有参加临床试验的研究者及其所在临床试验机构、伦理委员会，并上报给国家药品监督管理部门和卫生健康主管部门。研究者收到申办者提供的临床试验的相关安全性信息后应当及时签收阅读，并应当向伦理委员会报告由申办者提供的SUSAR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8" w:firstLine="480"/>
        <w:jc w:val="both"/>
        <w:rPr>
          <w:rFonts w:hint="default" w:ascii="Calibri" w:hAnsi="Calibri" w:cs="Calibri"/>
          <w:sz w:val="21"/>
          <w:szCs w:val="21"/>
        </w:rPr>
      </w:pP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在此背景下，本中心伦理委员会现仅受理研究者递交的由申办方进行评估后的</w:t>
      </w:r>
      <w:r>
        <w:rPr>
          <w:rFonts w:hint="eastAsia" w:ascii="宋体" w:hAnsi="宋体" w:eastAsia="宋体" w:cs="宋体"/>
          <w:i w:val="0"/>
          <w:iCs w:val="0"/>
          <w:caps w:val="0"/>
          <w:color w:val="3E3E3E"/>
          <w:spacing w:val="15"/>
          <w:kern w:val="0"/>
          <w:sz w:val="24"/>
          <w:szCs w:val="24"/>
          <w:bdr w:val="none" w:color="auto" w:sz="0" w:space="0"/>
          <w:shd w:val="clear" w:fill="FFFFFF"/>
          <w:lang w:val="en-US" w:eastAsia="zh-CN" w:bidi="ar"/>
        </w:rPr>
        <w:t>可疑且非预期严重不良反应SUSAR，与</w:t>
      </w: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研发期间安全性更新报告DSUR。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333333"/>
          <w:spacing w:val="8"/>
          <w:kern w:val="0"/>
          <w:sz w:val="28"/>
          <w:szCs w:val="28"/>
          <w:bdr w:val="none" w:color="auto" w:sz="0" w:space="0"/>
          <w:shd w:val="clear" w:fill="FFFFFF"/>
          <w:lang w:val="en-US" w:eastAsia="zh-CN" w:bidi="ar"/>
        </w:rPr>
        <w:t>三、SUSAR的递交流程与时限要求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8" w:firstLine="480"/>
        <w:jc w:val="both"/>
        <w:rPr>
          <w:rFonts w:hint="default" w:ascii="Calibri" w:hAnsi="Calibri" w:cs="Calibri"/>
          <w:sz w:val="21"/>
          <w:szCs w:val="21"/>
        </w:rPr>
      </w:pP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在本中心开展的药物临床试验，研究者获知SAE后，立即向申办者书面报告，通常为24小时内，除非在研究方案中另有约定。申办者按内部标准操作流程进行综合分析评估，将评估为可疑且非预期严重不良反应（SUSAR）报告，不论是否为本中心发生，只要涉及的项目同时在本中心开展，均应快速报告给本中心研究者。研究者及时审阅签署SUSAR报告，并向本院临床试验机构和伦理委员会递交SUSAR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8" w:firstLine="480"/>
        <w:jc w:val="both"/>
        <w:rPr>
          <w:rFonts w:hint="default" w:ascii="Calibri" w:hAnsi="Calibri" w:cs="Calibri"/>
          <w:sz w:val="21"/>
          <w:szCs w:val="21"/>
        </w:rPr>
      </w:pP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SAE/SUSAR报告流程如下图（含首次、随访、总结报告）。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rFonts w:hint="default" w:ascii="Calibri" w:hAnsi="Calibri" w:cs="Calibri"/>
          <w:sz w:val="21"/>
          <w:szCs w:val="21"/>
        </w:rPr>
      </w:pPr>
      <w:r>
        <w:rPr>
          <w:rFonts w:hint="default" w:ascii="Calibri" w:hAnsi="Calibri" w:eastAsia="Microsoft YaHei UI" w:cs="Calibri"/>
          <w:i w:val="0"/>
          <w:iCs w:val="0"/>
          <w:caps w:val="0"/>
          <w:color w:val="333333"/>
          <w:spacing w:val="0"/>
          <w:kern w:val="0"/>
          <w:sz w:val="21"/>
          <w:szCs w:val="21"/>
          <w:bdr w:val="none" w:color="auto" w:sz="0" w:space="0"/>
          <w:shd w:val="clear" w:fill="FFFFFF"/>
          <w:lang w:val="en-US" w:eastAsia="zh-CN" w:bidi="ar"/>
        </w:rPr>
        <w:drawing>
          <wp:inline distT="0" distB="0" distL="114300" distR="114300">
            <wp:extent cx="4000500" cy="571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000500" cy="571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776" w:right="0" w:hanging="390"/>
        <w:jc w:val="both"/>
        <w:rPr>
          <w:rFonts w:hint="eastAsia" w:ascii="宋体" w:hAnsi="宋体" w:eastAsia="宋体" w:cs="宋体"/>
          <w:i w:val="0"/>
          <w:iCs w:val="0"/>
          <w:caps w:val="0"/>
          <w:color w:val="333333"/>
          <w:spacing w:val="8"/>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i w:val="0"/>
          <w:iCs w:val="0"/>
          <w:caps w:val="0"/>
          <w:color w:val="333333"/>
          <w:spacing w:val="8"/>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14" w:firstLineChars="20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8"/>
          <w:sz w:val="24"/>
          <w:szCs w:val="24"/>
          <w:bdr w:val="none" w:color="auto" w:sz="0" w:space="0"/>
          <w:shd w:val="clear" w:fill="FFFFFF"/>
        </w:rPr>
        <w:t>1</w:t>
      </w:r>
      <w:r>
        <w:rPr>
          <w:rFonts w:hint="eastAsia" w:ascii="宋体" w:hAnsi="宋体" w:eastAsia="宋体" w:cs="宋体"/>
          <w:i w:val="0"/>
          <w:iCs w:val="0"/>
          <w:caps w:val="0"/>
          <w:color w:val="333333"/>
          <w:spacing w:val="8"/>
          <w:sz w:val="24"/>
          <w:szCs w:val="24"/>
          <w:bdr w:val="none" w:color="auto" w:sz="0" w:space="0"/>
          <w:shd w:val="clear" w:fill="FFFFFF"/>
        </w:rPr>
        <w:t>.</w:t>
      </w:r>
      <w:r>
        <w:rPr>
          <w:rFonts w:hint="eastAsia" w:ascii="宋体" w:hAnsi="宋体" w:eastAsia="宋体" w:cs="宋体"/>
          <w:b/>
          <w:bCs/>
          <w:i w:val="0"/>
          <w:iCs w:val="0"/>
          <w:caps w:val="0"/>
          <w:color w:val="333333"/>
          <w:spacing w:val="8"/>
          <w:sz w:val="24"/>
          <w:szCs w:val="24"/>
          <w:bdr w:val="none" w:color="auto" w:sz="0" w:space="0"/>
          <w:shd w:val="clear" w:fill="FFFFFF"/>
        </w:rPr>
        <w:t>递交流程：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86" w:right="0" w:firstLine="512"/>
        <w:jc w:val="both"/>
        <w:rPr>
          <w:rFonts w:hint="eastAsia" w:ascii="宋体" w:hAnsi="宋体" w:eastAsia="宋体" w:cs="宋体"/>
          <w:sz w:val="24"/>
          <w:szCs w:val="24"/>
        </w:rPr>
      </w:pPr>
      <w:r>
        <w:rPr>
          <w:rFonts w:hint="eastAsia" w:ascii="宋体" w:hAnsi="宋体" w:eastAsia="宋体" w:cs="宋体"/>
          <w:i w:val="0"/>
          <w:iCs w:val="0"/>
          <w:caps w:val="0"/>
          <w:color w:val="333333"/>
          <w:spacing w:val="8"/>
          <w:sz w:val="24"/>
          <w:szCs w:val="24"/>
          <w:bdr w:val="none" w:color="auto" w:sz="0" w:space="0"/>
          <w:shd w:val="clear" w:fill="FFFFFF"/>
        </w:rPr>
        <w:t>申办者经评估后递交研究者，研究者初步审核签字后，递交伦理委员会和临床试验机构办公室。报告实际递交流程中，取得对方的签收回执，包括申办者取得研究者的签收回执、研究者取得伦理委员会的签收回执，以确认按时递交并递交成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4"/>
        <w:jc w:val="both"/>
        <w:rPr>
          <w:rFonts w:hint="default" w:ascii="Calibri" w:hAnsi="Calibri" w:cs="Calibri"/>
          <w:sz w:val="21"/>
          <w:szCs w:val="21"/>
        </w:rPr>
      </w:pPr>
      <w:r>
        <w:rPr>
          <w:rFonts w:hint="eastAsia" w:ascii="宋体" w:hAnsi="宋体" w:eastAsia="宋体" w:cs="宋体"/>
          <w:b/>
          <w:bCs/>
          <w:i w:val="0"/>
          <w:iCs w:val="0"/>
          <w:caps w:val="0"/>
          <w:color w:val="333333"/>
          <w:spacing w:val="8"/>
          <w:kern w:val="0"/>
          <w:sz w:val="24"/>
          <w:szCs w:val="24"/>
          <w:bdr w:val="none" w:color="auto" w:sz="0" w:space="0"/>
          <w:shd w:val="clear" w:fill="FFFFFF"/>
          <w:lang w:val="en-US" w:eastAsia="zh-CN" w:bidi="ar"/>
        </w:rPr>
        <w:t>2. 时限要求：</w:t>
      </w:r>
      <w:r>
        <w:rPr>
          <w:rFonts w:hint="eastAsia" w:ascii="宋体" w:hAnsi="宋体" w:eastAsia="宋体" w:cs="宋体"/>
          <w:i w:val="0"/>
          <w:iCs w:val="0"/>
          <w:caps w:val="0"/>
          <w:color w:val="333333"/>
          <w:spacing w:val="8"/>
          <w:kern w:val="0"/>
          <w:sz w:val="24"/>
          <w:szCs w:val="24"/>
          <w:bdr w:val="none" w:color="auto" w:sz="0" w:space="0"/>
          <w:shd w:val="clear" w:fill="FFFFFF"/>
          <w:lang w:val="en-US" w:eastAsia="zh-CN" w:bidi="ar"/>
        </w:rPr>
        <w:t>申办者应按法规要求的时限（应当遵循7天和15天的快速报告要求）将SUSAR报告递交研究者审阅，由研究者上报本院伦理委员会和临床试验机构办公室， 具体要求如下：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2"/>
        <w:jc w:val="both"/>
        <w:rPr>
          <w:rFonts w:hint="eastAsia" w:ascii="宋体" w:hAnsi="宋体" w:eastAsia="宋体" w:cs="宋体"/>
          <w:b/>
          <w:bCs/>
          <w:sz w:val="24"/>
          <w:szCs w:val="24"/>
        </w:rPr>
      </w:pPr>
      <w:r>
        <w:rPr>
          <w:rFonts w:ascii="仿宋" w:hAnsi="仿宋" w:eastAsia="仿宋" w:cs="仿宋"/>
          <w:b/>
          <w:bCs/>
          <w:i w:val="0"/>
          <w:iCs w:val="0"/>
          <w:caps w:val="0"/>
          <w:color w:val="333333"/>
          <w:spacing w:val="8"/>
          <w:sz w:val="24"/>
          <w:szCs w:val="24"/>
          <w:bdr w:val="none" w:color="auto" w:sz="0" w:space="0"/>
          <w:shd w:val="clear" w:fill="FFFFFF"/>
        </w:rPr>
        <w:t>①本中心SUSAR：本中心致死或危及生命的SUSAR应在申办者首次获知7天内，研究者报告伦理委员会，并在随后的</w:t>
      </w:r>
      <w:r>
        <w:rPr>
          <w:rFonts w:hint="eastAsia" w:ascii="仿宋" w:hAnsi="仿宋" w:eastAsia="仿宋" w:cs="仿宋"/>
          <w:b/>
          <w:bCs/>
          <w:i w:val="0"/>
          <w:iCs w:val="0"/>
          <w:caps w:val="0"/>
          <w:color w:val="333333"/>
          <w:spacing w:val="8"/>
          <w:sz w:val="24"/>
          <w:szCs w:val="24"/>
          <w:bdr w:val="none" w:color="auto" w:sz="0" w:space="0"/>
          <w:shd w:val="clear" w:fill="FFFFFF"/>
          <w:lang w:val="en-US" w:eastAsia="zh-CN"/>
        </w:rPr>
        <w:t>8</w:t>
      </w:r>
      <w:r>
        <w:rPr>
          <w:rFonts w:ascii="仿宋" w:hAnsi="仿宋" w:eastAsia="仿宋" w:cs="仿宋"/>
          <w:b/>
          <w:bCs/>
          <w:i w:val="0"/>
          <w:iCs w:val="0"/>
          <w:caps w:val="0"/>
          <w:color w:val="333333"/>
          <w:spacing w:val="8"/>
          <w:sz w:val="24"/>
          <w:szCs w:val="24"/>
          <w:bdr w:val="none" w:color="auto" w:sz="0" w:space="0"/>
          <w:shd w:val="clear" w:fill="FFFFFF"/>
        </w:rPr>
        <w:t>天内报告、完善随访信息；对于非致死或危及生命的SUSAR，应在申办者首次获知后15天内研究者尽快上报伦理委员会和临床试验机构办公室。（注：申办者首次获知当天为第0天）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2"/>
        <w:jc w:val="left"/>
        <w:rPr>
          <w:rFonts w:hint="eastAsia" w:ascii="仿宋" w:hAnsi="仿宋" w:eastAsia="仿宋" w:cs="仿宋"/>
          <w:b/>
          <w:bCs/>
          <w:i w:val="0"/>
          <w:iCs w:val="0"/>
          <w:caps w:val="0"/>
          <w:color w:val="333333"/>
          <w:spacing w:val="8"/>
          <w:kern w:val="0"/>
          <w:sz w:val="24"/>
          <w:szCs w:val="24"/>
          <w:bdr w:val="none" w:color="auto" w:sz="0" w:space="0"/>
          <w:shd w:val="clear" w:fill="FFFFFF"/>
          <w:lang w:val="en-US" w:eastAsia="zh-CN" w:bidi="ar"/>
        </w:rPr>
      </w:pPr>
      <w:r>
        <w:rPr>
          <w:rFonts w:hint="eastAsia" w:ascii="仿宋" w:hAnsi="仿宋" w:eastAsia="仿宋" w:cs="仿宋"/>
          <w:b/>
          <w:bCs/>
          <w:i w:val="0"/>
          <w:iCs w:val="0"/>
          <w:caps w:val="0"/>
          <w:color w:val="333333"/>
          <w:spacing w:val="8"/>
          <w:kern w:val="0"/>
          <w:sz w:val="24"/>
          <w:szCs w:val="24"/>
          <w:bdr w:val="none" w:color="auto" w:sz="0" w:space="0"/>
          <w:shd w:val="clear" w:fill="FFFFFF"/>
          <w:lang w:val="en-US" w:eastAsia="zh-CN" w:bidi="ar"/>
        </w:rPr>
        <w:t>②非本中心SUSAR：研究者上报频次为1个月；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2"/>
        <w:jc w:val="left"/>
        <w:rPr>
          <w:rFonts w:hint="default" w:ascii="Calibri" w:hAnsi="Calibri" w:cs="Calibri"/>
          <w:sz w:val="21"/>
          <w:szCs w:val="21"/>
        </w:rPr>
      </w:pPr>
      <w:r>
        <w:rPr>
          <w:rFonts w:hint="eastAsia" w:ascii="仿宋" w:hAnsi="仿宋" w:eastAsia="仿宋" w:cs="仿宋"/>
          <w:b/>
          <w:bCs/>
          <w:i w:val="0"/>
          <w:iCs w:val="0"/>
          <w:caps w:val="0"/>
          <w:color w:val="333333"/>
          <w:spacing w:val="8"/>
          <w:kern w:val="0"/>
          <w:sz w:val="24"/>
          <w:szCs w:val="24"/>
          <w:bdr w:val="none" w:color="auto" w:sz="0" w:space="0"/>
          <w:shd w:val="clear" w:fill="FFFFFF"/>
          <w:lang w:val="en-US" w:eastAsia="zh-CN" w:bidi="ar"/>
        </w:rPr>
        <w:t>③任何显著影响研究进行或增加受试者风险的SUSAR：申办者获知7天内研究者上报伦理委员会和临床试验机构办公室</w:t>
      </w:r>
      <w:r>
        <w:rPr>
          <w:rFonts w:hint="eastAsia" w:ascii="仿宋" w:hAnsi="仿宋" w:eastAsia="仿宋" w:cs="仿宋"/>
          <w:i w:val="0"/>
          <w:iCs w:val="0"/>
          <w:caps w:val="0"/>
          <w:color w:val="333333"/>
          <w:spacing w:val="8"/>
          <w:kern w:val="0"/>
          <w:sz w:val="24"/>
          <w:szCs w:val="24"/>
          <w:bdr w:val="none" w:color="auto" w:sz="0" w:space="0"/>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8"/>
          <w:sz w:val="28"/>
          <w:szCs w:val="28"/>
          <w:bdr w:val="none" w:color="auto" w:sz="0" w:space="0"/>
          <w:shd w:val="clear" w:fill="FFFFFF"/>
        </w:rPr>
        <w:t>四、 报告材料要求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8"/>
          <w:sz w:val="24"/>
          <w:szCs w:val="24"/>
          <w:bdr w:val="none" w:color="auto" w:sz="0" w:space="0"/>
          <w:shd w:val="clear" w:fill="FFFFFF"/>
        </w:rPr>
      </w:pPr>
      <w:r>
        <w:rPr>
          <w:rFonts w:hint="eastAsia" w:ascii="宋体" w:hAnsi="宋体" w:eastAsia="宋体" w:cs="宋体"/>
          <w:i w:val="0"/>
          <w:iCs w:val="0"/>
          <w:caps w:val="0"/>
          <w:color w:val="333333"/>
          <w:spacing w:val="8"/>
          <w:sz w:val="24"/>
          <w:szCs w:val="24"/>
          <w:bdr w:val="none" w:color="auto" w:sz="0" w:space="0"/>
          <w:shd w:val="clear" w:fill="FFFFFF"/>
        </w:rPr>
        <w:t>报告的纸质版与电子版材料需同步上报伦理办公室。</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leftChars="0" w:right="0" w:rightChars="0"/>
        <w:jc w:val="both"/>
        <w:rPr>
          <w:rFonts w:hint="eastAsia" w:ascii="宋体" w:hAnsi="宋体" w:eastAsia="宋体" w:cs="宋体"/>
          <w:i w:val="0"/>
          <w:iCs w:val="0"/>
          <w:caps w:val="0"/>
          <w:color w:val="333333"/>
          <w:spacing w:val="8"/>
          <w:sz w:val="24"/>
          <w:szCs w:val="24"/>
          <w:bdr w:val="none" w:color="auto" w:sz="0" w:space="0"/>
          <w:shd w:val="clear" w:fill="FFFFFF"/>
          <w:lang w:val="en-US" w:eastAsia="zh-CN"/>
        </w:rPr>
      </w:pPr>
      <w:r>
        <w:rPr>
          <w:rFonts w:ascii="仿宋" w:hAnsi="仿宋" w:eastAsia="仿宋" w:cs="仿宋"/>
          <w:b/>
          <w:bCs/>
          <w:i w:val="0"/>
          <w:iCs w:val="0"/>
          <w:caps w:val="0"/>
          <w:color w:val="333333"/>
          <w:spacing w:val="8"/>
          <w:sz w:val="24"/>
          <w:szCs w:val="24"/>
          <w:shd w:val="clear" w:fill="FFFFFF"/>
        </w:rPr>
        <w:t>①</w:t>
      </w:r>
      <w:r>
        <w:rPr>
          <w:rFonts w:hint="eastAsia" w:ascii="宋体" w:hAnsi="宋体" w:eastAsia="宋体" w:cs="宋体"/>
          <w:i w:val="0"/>
          <w:iCs w:val="0"/>
          <w:caps w:val="0"/>
          <w:color w:val="333333"/>
          <w:spacing w:val="8"/>
          <w:sz w:val="24"/>
          <w:szCs w:val="24"/>
          <w:bdr w:val="none" w:color="auto" w:sz="0" w:space="0"/>
          <w:shd w:val="clear" w:fill="FFFFFF"/>
          <w:lang w:val="en-US" w:eastAsia="zh-CN"/>
        </w:rPr>
        <w:t>首次SUSAR需通过伦理委员会会议审查</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leftChars="0" w:right="0" w:rightChars="0"/>
        <w:jc w:val="both"/>
        <w:rPr>
          <w:rFonts w:hint="default" w:ascii="宋体" w:hAnsi="宋体" w:eastAsia="宋体" w:cs="宋体"/>
          <w:i w:val="0"/>
          <w:iCs w:val="0"/>
          <w:caps w:val="0"/>
          <w:color w:val="333333"/>
          <w:spacing w:val="8"/>
          <w:sz w:val="24"/>
          <w:szCs w:val="24"/>
          <w:bdr w:val="none" w:color="auto" w:sz="0" w:space="0"/>
          <w:shd w:val="clear" w:fill="FFFFFF"/>
          <w:lang w:val="en-US" w:eastAsia="zh-CN"/>
        </w:rPr>
      </w:pPr>
      <w:r>
        <w:rPr>
          <w:rFonts w:hint="eastAsia" w:ascii="仿宋" w:hAnsi="仿宋" w:eastAsia="仿宋" w:cs="仿宋"/>
          <w:b/>
          <w:bCs/>
          <w:i w:val="0"/>
          <w:iCs w:val="0"/>
          <w:caps w:val="0"/>
          <w:color w:val="333333"/>
          <w:spacing w:val="8"/>
          <w:kern w:val="0"/>
          <w:sz w:val="24"/>
          <w:szCs w:val="24"/>
          <w:shd w:val="clear" w:fill="FFFFFF"/>
          <w:lang w:val="en-US" w:eastAsia="zh-CN" w:bidi="ar"/>
        </w:rPr>
        <w:t>②</w:t>
      </w:r>
      <w:r>
        <w:rPr>
          <w:rFonts w:hint="eastAsia" w:ascii="宋体" w:hAnsi="宋体" w:eastAsia="宋体" w:cs="宋体"/>
          <w:i w:val="0"/>
          <w:iCs w:val="0"/>
          <w:caps w:val="0"/>
          <w:color w:val="333333"/>
          <w:spacing w:val="8"/>
          <w:sz w:val="24"/>
          <w:szCs w:val="24"/>
          <w:bdr w:val="none" w:color="auto" w:sz="0" w:space="0"/>
          <w:shd w:val="clear" w:fill="FFFFFF"/>
          <w:lang w:val="en-US" w:eastAsia="zh-CN"/>
        </w:rPr>
        <w:t>会议审查SUSAR需准备SUSAR申请以及SUSAR报告。另需主审委员提前预审，并给出意见。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8"/>
          <w:sz w:val="24"/>
          <w:szCs w:val="24"/>
          <w:bdr w:val="none" w:color="auto" w:sz="0" w:space="0"/>
          <w:shd w:val="clear" w:fill="FFFFFF"/>
        </w:rPr>
        <w:t>注：死亡事件SUSAR中的死亡事件报告，除符合SUSAR的一般要求外，研究者还应当向申办者和伦理委员会提供其他所需要资料，如尸检报告和最终医学报告。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70" w:right="0" w:firstLine="256"/>
        <w:jc w:val="both"/>
        <w:rPr>
          <w:rFonts w:hint="eastAsia" w:ascii="宋体" w:hAnsi="宋体" w:eastAsia="宋体" w:cs="宋体"/>
          <w:sz w:val="24"/>
          <w:szCs w:val="24"/>
        </w:rPr>
      </w:pPr>
      <w:r>
        <w:rPr>
          <w:rFonts w:hint="eastAsia" w:ascii="宋体" w:hAnsi="宋体" w:eastAsia="宋体" w:cs="宋体"/>
          <w:i w:val="0"/>
          <w:iCs w:val="0"/>
          <w:caps w:val="0"/>
          <w:color w:val="333333"/>
          <w:spacing w:val="8"/>
          <w:sz w:val="24"/>
          <w:szCs w:val="24"/>
          <w:bdr w:val="none" w:color="auto" w:sz="0" w:space="0"/>
          <w:shd w:val="clear" w:fill="FFFFFF"/>
        </w:rPr>
        <w:t>2.电子版材料：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2"/>
        <w:jc w:val="both"/>
        <w:rPr>
          <w:rFonts w:hint="eastAsia" w:ascii="宋体" w:hAnsi="宋体" w:eastAsia="宋体" w:cs="宋体"/>
          <w:sz w:val="24"/>
          <w:szCs w:val="24"/>
        </w:rPr>
      </w:pPr>
      <w:r>
        <w:rPr>
          <w:rFonts w:hint="eastAsia" w:ascii="宋体" w:hAnsi="宋体" w:eastAsia="宋体" w:cs="宋体"/>
          <w:i w:val="0"/>
          <w:iCs w:val="0"/>
          <w:caps w:val="0"/>
          <w:color w:val="333333"/>
          <w:spacing w:val="8"/>
          <w:sz w:val="24"/>
          <w:szCs w:val="24"/>
          <w:bdr w:val="none" w:color="auto" w:sz="0" w:space="0"/>
          <w:shd w:val="clear" w:fill="FFFFFF"/>
        </w:rPr>
        <w:t>电子版请在纸质版材料通过形式审查后发送至伦理邮箱)，邮件标题按照“文件编号＋伦理受理号＋项目简称＋SUSAR发生时间”的格式进行编辑，邮件附件须使用压缩包文件递交（压缩包命名须邮件名称一致），不同文件不得合并扫描，文件需单独命名，须包含一份Word版及一份PDF版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2"/>
        <w:jc w:val="both"/>
        <w:rPr>
          <w:rFonts w:hint="eastAsia" w:ascii="宋体" w:hAnsi="宋体" w:eastAsia="宋体" w:cs="宋体"/>
          <w:sz w:val="24"/>
          <w:szCs w:val="24"/>
        </w:rPr>
      </w:pPr>
      <w:r>
        <w:rPr>
          <w:rFonts w:hint="eastAsia" w:ascii="宋体" w:hAnsi="宋体" w:eastAsia="宋体" w:cs="宋体"/>
          <w:i w:val="0"/>
          <w:iCs w:val="0"/>
          <w:caps w:val="0"/>
          <w:color w:val="333333"/>
          <w:spacing w:val="8"/>
          <w:sz w:val="24"/>
          <w:szCs w:val="24"/>
          <w:bdr w:val="none" w:color="auto" w:sz="0" w:space="0"/>
          <w:shd w:val="clear" w:fill="FFFFFF"/>
        </w:rPr>
        <w:t>3.如有疑问请致电办公室。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both"/>
        <w:rPr>
          <w:rFonts w:hint="default" w:ascii="Calibri" w:hAnsi="Calibri" w:eastAsia="宋体" w:cs="Calibri"/>
          <w:sz w:val="21"/>
          <w:szCs w:val="21"/>
          <w:lang w:val="en-US" w:eastAsia="zh-CN"/>
        </w:rPr>
      </w:pPr>
      <w:r>
        <w:rPr>
          <w:rFonts w:hint="eastAsia" w:ascii="宋体" w:hAnsi="宋体" w:eastAsia="宋体" w:cs="宋体"/>
          <w:i w:val="0"/>
          <w:iCs w:val="0"/>
          <w:caps w:val="0"/>
          <w:color w:val="333333"/>
          <w:spacing w:val="8"/>
          <w:sz w:val="24"/>
          <w:szCs w:val="24"/>
          <w:bdr w:val="none" w:color="auto" w:sz="0" w:space="0"/>
          <w:shd w:val="clear" w:fill="FFFFFF"/>
        </w:rPr>
        <w:t>联系人：</w:t>
      </w:r>
      <w:r>
        <w:rPr>
          <w:rFonts w:hint="eastAsia" w:ascii="宋体" w:hAnsi="宋体" w:eastAsia="宋体" w:cs="宋体"/>
          <w:i w:val="0"/>
          <w:iCs w:val="0"/>
          <w:caps w:val="0"/>
          <w:color w:val="333333"/>
          <w:spacing w:val="8"/>
          <w:sz w:val="24"/>
          <w:szCs w:val="24"/>
          <w:bdr w:val="none" w:color="auto" w:sz="0" w:space="0"/>
          <w:shd w:val="clear" w:fill="FFFFFF"/>
          <w:lang w:val="en-US" w:eastAsia="zh-CN"/>
        </w:rPr>
        <w:t>李</w:t>
      </w:r>
      <w:r>
        <w:rPr>
          <w:rFonts w:hint="eastAsia" w:ascii="宋体" w:hAnsi="宋体" w:eastAsia="宋体" w:cs="宋体"/>
          <w:i w:val="0"/>
          <w:iCs w:val="0"/>
          <w:caps w:val="0"/>
          <w:color w:val="333333"/>
          <w:spacing w:val="8"/>
          <w:sz w:val="24"/>
          <w:szCs w:val="24"/>
          <w:bdr w:val="none" w:color="auto" w:sz="0" w:space="0"/>
          <w:shd w:val="clear" w:fill="FFFFFF"/>
        </w:rPr>
        <w:t>老师，联系电话：0551-</w:t>
      </w:r>
      <w:r>
        <w:rPr>
          <w:rFonts w:hint="eastAsia" w:ascii="宋体" w:hAnsi="宋体" w:eastAsia="宋体" w:cs="宋体"/>
          <w:i w:val="0"/>
          <w:iCs w:val="0"/>
          <w:caps w:val="0"/>
          <w:color w:val="333333"/>
          <w:spacing w:val="8"/>
          <w:sz w:val="24"/>
          <w:szCs w:val="24"/>
          <w:bdr w:val="none" w:color="auto" w:sz="0" w:space="0"/>
          <w:shd w:val="clear" w:fill="FFFFFF"/>
          <w:lang w:val="en-US" w:eastAsia="zh-CN"/>
        </w:rPr>
        <w:t>63635993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504"/>
        <w:jc w:val="both"/>
        <w:rPr>
          <w:rFonts w:hint="default" w:ascii="Calibri" w:hAnsi="Calibri" w:cs="Calibri"/>
          <w:sz w:val="21"/>
          <w:szCs w:val="21"/>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934585"/>
          <wp:effectExtent l="0" t="0" r="2540" b="18415"/>
          <wp:wrapNone/>
          <wp:docPr id="4" name="WordPictureWatermark4127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41273" descr="图标"/>
                  <pic:cNvPicPr>
                    <a:picLocks noChangeAspect="1"/>
                  </pic:cNvPicPr>
                </pic:nvPicPr>
                <pic:blipFill>
                  <a:blip r:embed="rId1">
                    <a:lum bright="69998" contrast="-70001"/>
                  </a:blip>
                  <a:stretch>
                    <a:fillRect/>
                  </a:stretch>
                </pic:blipFill>
                <pic:spPr>
                  <a:xfrm>
                    <a:off x="0" y="0"/>
                    <a:ext cx="5274310" cy="49345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61088"/>
    <w:rsid w:val="4946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1609</Words>
  <Characters>1899</Characters>
  <Lines>0</Lines>
  <Paragraphs>0</Paragraphs>
  <TotalTime>0</TotalTime>
  <ScaleCrop>false</ScaleCrop>
  <LinksUpToDate>false</LinksUpToDate>
  <CharactersWithSpaces>1925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机构办</dc:creator>
  <cp:lastModifiedBy>机构办</cp:lastModifiedBy>
  <dcterms:modified xsi:type="dcterms:W3CDTF">2022-04-24T02:31:31Z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0508F6B4E5644DBA8AE7288A0FABB636</vt:lpwstr>
  </property>
</Properties>
</file>